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Times New Roman" w:eastAsia="黑体"/>
          <w:color w:val="000000"/>
        </w:rPr>
      </w:pPr>
      <w:r>
        <w:rPr>
          <w:rFonts w:ascii="Times New Roman" w:eastAsia="黑体"/>
          <w:color w:val="000000"/>
        </w:rPr>
        <w:t>附件2</w:t>
      </w:r>
    </w:p>
    <w:p>
      <w:pPr>
        <w:spacing w:after="120" w:afterLines="50"/>
        <w:ind w:firstLine="0"/>
        <w:jc w:val="center"/>
        <w:rPr>
          <w:rFonts w:ascii="Times New Roman" w:eastAsia="方正小标宋简体"/>
          <w:color w:val="000000"/>
        </w:rPr>
      </w:pPr>
      <w:r>
        <w:rPr>
          <w:rFonts w:ascii="Times New Roman" w:eastAsia="方正小标宋简体"/>
          <w:color w:val="000000"/>
          <w:sz w:val="44"/>
          <w:szCs w:val="44"/>
        </w:rPr>
        <w:t>连云港市建设旅游强市三年行动计划重点事项分解表</w:t>
      </w:r>
    </w:p>
    <w:tbl>
      <w:tblPr>
        <w:tblStyle w:val="3"/>
        <w:tblW w:w="13721" w:type="dxa"/>
        <w:jc w:val="center"/>
        <w:tblInd w:w="0" w:type="dxa"/>
        <w:tblLayout w:type="fixed"/>
        <w:tblCellMar>
          <w:top w:w="0" w:type="dxa"/>
          <w:left w:w="108" w:type="dxa"/>
          <w:bottom w:w="0" w:type="dxa"/>
          <w:right w:w="108" w:type="dxa"/>
        </w:tblCellMar>
      </w:tblPr>
      <w:tblGrid>
        <w:gridCol w:w="729"/>
        <w:gridCol w:w="1341"/>
        <w:gridCol w:w="5550"/>
        <w:gridCol w:w="1094"/>
        <w:gridCol w:w="2380"/>
        <w:gridCol w:w="2627"/>
      </w:tblGrid>
      <w:tr>
        <w:tblPrEx>
          <w:tblLayout w:type="fixed"/>
          <w:tblCellMar>
            <w:top w:w="0" w:type="dxa"/>
            <w:left w:w="108" w:type="dxa"/>
            <w:bottom w:w="0" w:type="dxa"/>
            <w:right w:w="108" w:type="dxa"/>
          </w:tblCellMar>
        </w:tblPrEx>
        <w:trPr>
          <w:trHeight w:val="765" w:hRule="atLeast"/>
          <w:tblHeader/>
          <w:jc w:val="center"/>
        </w:trPr>
        <w:tc>
          <w:tcPr>
            <w:tcW w:w="7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eastAsia="黑体"/>
                <w:bCs/>
                <w:color w:val="000000"/>
                <w:sz w:val="22"/>
                <w:szCs w:val="22"/>
              </w:rPr>
            </w:pPr>
            <w:r>
              <w:rPr>
                <w:rFonts w:ascii="Times New Roman" w:eastAsia="黑体"/>
                <w:bCs/>
                <w:color w:val="000000"/>
                <w:sz w:val="22"/>
                <w:szCs w:val="22"/>
              </w:rPr>
              <w:t>序号</w:t>
            </w:r>
          </w:p>
        </w:tc>
        <w:tc>
          <w:tcPr>
            <w:tcW w:w="1341" w:type="dxa"/>
            <w:tcBorders>
              <w:top w:val="single" w:color="auto" w:sz="4" w:space="0"/>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eastAsia="黑体"/>
                <w:bCs/>
                <w:color w:val="000000"/>
                <w:sz w:val="22"/>
                <w:szCs w:val="22"/>
              </w:rPr>
            </w:pPr>
            <w:r>
              <w:rPr>
                <w:rFonts w:ascii="Times New Roman" w:eastAsia="黑体"/>
                <w:bCs/>
                <w:color w:val="000000"/>
                <w:sz w:val="22"/>
                <w:szCs w:val="22"/>
              </w:rPr>
              <w:t>事项名称</w:t>
            </w:r>
          </w:p>
        </w:tc>
        <w:tc>
          <w:tcPr>
            <w:tcW w:w="5550" w:type="dxa"/>
            <w:tcBorders>
              <w:top w:val="single" w:color="auto" w:sz="4" w:space="0"/>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eastAsia="黑体"/>
                <w:bCs/>
                <w:color w:val="000000"/>
                <w:sz w:val="22"/>
                <w:szCs w:val="22"/>
              </w:rPr>
            </w:pPr>
            <w:r>
              <w:rPr>
                <w:rFonts w:ascii="Times New Roman" w:eastAsia="黑体"/>
                <w:bCs/>
                <w:color w:val="000000"/>
                <w:sz w:val="22"/>
                <w:szCs w:val="22"/>
              </w:rPr>
              <w:t>工 作 任 务</w:t>
            </w:r>
          </w:p>
        </w:tc>
        <w:tc>
          <w:tcPr>
            <w:tcW w:w="1094" w:type="dxa"/>
            <w:tcBorders>
              <w:top w:val="single" w:color="auto" w:sz="4" w:space="0"/>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eastAsia="黑体"/>
                <w:bCs/>
                <w:color w:val="000000"/>
                <w:sz w:val="22"/>
                <w:szCs w:val="22"/>
              </w:rPr>
            </w:pPr>
            <w:r>
              <w:rPr>
                <w:rFonts w:ascii="Times New Roman" w:eastAsia="黑体"/>
                <w:bCs/>
                <w:color w:val="000000"/>
                <w:sz w:val="22"/>
                <w:szCs w:val="22"/>
              </w:rPr>
              <w:t>完成年限</w:t>
            </w:r>
          </w:p>
        </w:tc>
        <w:tc>
          <w:tcPr>
            <w:tcW w:w="2380" w:type="dxa"/>
            <w:tcBorders>
              <w:top w:val="single" w:color="auto" w:sz="4" w:space="0"/>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eastAsia="黑体"/>
                <w:bCs/>
                <w:color w:val="000000"/>
                <w:sz w:val="22"/>
                <w:szCs w:val="22"/>
              </w:rPr>
            </w:pPr>
            <w:r>
              <w:rPr>
                <w:rFonts w:ascii="Times New Roman" w:eastAsia="黑体"/>
                <w:bCs/>
                <w:color w:val="000000"/>
                <w:sz w:val="22"/>
                <w:szCs w:val="22"/>
              </w:rPr>
              <w:t>牵头单位</w:t>
            </w:r>
          </w:p>
        </w:tc>
        <w:tc>
          <w:tcPr>
            <w:tcW w:w="2627" w:type="dxa"/>
            <w:tcBorders>
              <w:top w:val="single" w:color="auto" w:sz="4" w:space="0"/>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eastAsia="黑体"/>
                <w:bCs/>
                <w:color w:val="000000"/>
                <w:sz w:val="22"/>
                <w:szCs w:val="22"/>
              </w:rPr>
            </w:pPr>
            <w:r>
              <w:rPr>
                <w:rFonts w:ascii="Times New Roman" w:eastAsia="黑体"/>
                <w:bCs/>
                <w:color w:val="000000"/>
                <w:sz w:val="22"/>
                <w:szCs w:val="22"/>
              </w:rPr>
              <w:t>共同责任单位</w:t>
            </w:r>
          </w:p>
        </w:tc>
      </w:tr>
      <w:tr>
        <w:tblPrEx>
          <w:tblLayout w:type="fixed"/>
          <w:tblCellMar>
            <w:top w:w="0" w:type="dxa"/>
            <w:left w:w="108" w:type="dxa"/>
            <w:bottom w:w="0" w:type="dxa"/>
            <w:right w:w="108" w:type="dxa"/>
          </w:tblCellMar>
        </w:tblPrEx>
        <w:trPr>
          <w:trHeight w:val="1352"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1</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连岛创成国家5A级旅游景区</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深入挖掘海洋旅游资源，丰富旅游产品体系，完善旅游配套设施，创新旅游经营管理体制，优化区域旅游发展环境。2018年解决风景名胜区规划等制约问题，通过国家旅游局景观资源价值评审；2019年通过初审，2020年创成。</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2020年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连云区</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市旅游局</w:t>
            </w:r>
          </w:p>
        </w:tc>
      </w:tr>
      <w:tr>
        <w:tblPrEx>
          <w:tblLayout w:type="fixed"/>
          <w:tblCellMar>
            <w:top w:w="0" w:type="dxa"/>
            <w:left w:w="108" w:type="dxa"/>
            <w:bottom w:w="0" w:type="dxa"/>
            <w:right w:w="108" w:type="dxa"/>
          </w:tblCellMar>
        </w:tblPrEx>
        <w:trPr>
          <w:trHeight w:val="1017"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海上云台山创建国家5A级景区</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依托现有的海上云台山森林公园，联合连云老街，整合宿城枫树湾、保驾山等资源，完善商业业态，增加文创体验、休闲度假项目，2020年前启动申报国家生态公园、国家5A级景区。</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2020年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连云区</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市旅游局</w:t>
            </w:r>
          </w:p>
        </w:tc>
      </w:tr>
      <w:tr>
        <w:tblPrEx>
          <w:tblLayout w:type="fixed"/>
          <w:tblCellMar>
            <w:top w:w="0" w:type="dxa"/>
            <w:left w:w="108" w:type="dxa"/>
            <w:bottom w:w="0" w:type="dxa"/>
            <w:right w:w="108" w:type="dxa"/>
          </w:tblCellMar>
        </w:tblPrEx>
        <w:trPr>
          <w:trHeight w:val="1310"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3</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赣榆海州湾海洋旅游资源综合开发</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整合海州湾旅游度假区、秦山岛等区域，围绕“海岛、海鲜”两大核心资源，充分挖掘“渔港、渔村、沙滩、湿地”特色资源，实施海州湾国家海洋公园、海洋科技城、海头赶海小镇等重大项目，完善秦山岛等海岛旅游和基础设施项目建设。</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2020年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赣榆区</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市海洋与渔业局、市旅游局</w:t>
            </w:r>
          </w:p>
        </w:tc>
      </w:tr>
      <w:tr>
        <w:tblPrEx>
          <w:tblLayout w:type="fixed"/>
          <w:tblCellMar>
            <w:top w:w="0" w:type="dxa"/>
            <w:left w:w="108" w:type="dxa"/>
            <w:bottom w:w="0" w:type="dxa"/>
            <w:right w:w="108" w:type="dxa"/>
          </w:tblCellMar>
        </w:tblPrEx>
        <w:trPr>
          <w:trHeight w:val="2485"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4</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连云港海滨旅游度假区申报国家级旅游度假区</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依托森林、海洋和湿地三大资源集中汇集的优势，建成滨海商贸服务区、综合旅游接待区和特色滨水区三大功能片区，重点推动连云新城蓝色海湾生态工程、临洪河口湿地公园等重大项目建设，推动以连云新城为核心的连云港海滨旅游度假区申报国家级旅游度假区，形成“青山、碧海、泻湖、湿地”于一体的城市形象。开通海上旅游客运，大力发展邮轮游艇旅游。2020年前完成各项建设工作，启动申报程序。</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2020年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连云区、市开发区、市城建控股集团、市水利局</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市海洋与渔业局、市旅游局、市港口局</w:t>
            </w:r>
          </w:p>
        </w:tc>
      </w:tr>
      <w:tr>
        <w:tblPrEx>
          <w:tblLayout w:type="fixed"/>
          <w:tblCellMar>
            <w:top w:w="0" w:type="dxa"/>
            <w:left w:w="108" w:type="dxa"/>
            <w:bottom w:w="0" w:type="dxa"/>
            <w:right w:w="108" w:type="dxa"/>
          </w:tblCellMar>
        </w:tblPrEx>
        <w:trPr>
          <w:trHeight w:val="1743"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5</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水晶文化旅游区申创国家5A级旅游景区</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整合水晶城、水晶博物馆、西双湖旅游景区等资源，加快产业融合发展，建成水晶商贸休闲旅游综合体、水晶文化创意产业园等项目，大力发展主题旅游、购物旅游等新业态，力争2019年启动5A级景区申创程序，2020年通过初审。</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2020年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东海县</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市旅游局</w:t>
            </w:r>
          </w:p>
        </w:tc>
      </w:tr>
      <w:tr>
        <w:tblPrEx>
          <w:tblLayout w:type="fixed"/>
          <w:tblCellMar>
            <w:top w:w="0" w:type="dxa"/>
            <w:left w:w="108" w:type="dxa"/>
            <w:bottom w:w="0" w:type="dxa"/>
            <w:right w:w="108" w:type="dxa"/>
          </w:tblCellMar>
        </w:tblPrEx>
        <w:trPr>
          <w:trHeight w:val="1030"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6</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花果山景区核心区山民下迁</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创新景区利润分配机制，制定迁居鼓励政策，2020年前完成景区核心区居民下迁，对原有民居进行统一规划、管理、改造和运营。</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2020年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云台山景区</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　</w:t>
            </w:r>
          </w:p>
        </w:tc>
      </w:tr>
      <w:tr>
        <w:tblPrEx>
          <w:tblLayout w:type="fixed"/>
          <w:tblCellMar>
            <w:top w:w="0" w:type="dxa"/>
            <w:left w:w="108" w:type="dxa"/>
            <w:bottom w:w="0" w:type="dxa"/>
            <w:right w:w="108" w:type="dxa"/>
          </w:tblCellMar>
        </w:tblPrEx>
        <w:trPr>
          <w:trHeight w:val="1058"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7</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实施旅游商品开发“十百千”行动计划</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建设10个旅游商品生产基地或产业园区，培育100家旅游商品龙头企业，1000名“连云港名匠”和“连云港名创”。</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2020年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各县区、功能板块</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市商务局、市旅游局</w:t>
            </w:r>
          </w:p>
        </w:tc>
      </w:tr>
      <w:tr>
        <w:tblPrEx>
          <w:tblLayout w:type="fixed"/>
          <w:tblCellMar>
            <w:top w:w="0" w:type="dxa"/>
            <w:left w:w="108" w:type="dxa"/>
            <w:bottom w:w="0" w:type="dxa"/>
            <w:right w:w="108" w:type="dxa"/>
          </w:tblCellMar>
        </w:tblPrEx>
        <w:trPr>
          <w:trHeight w:val="1171"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8</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优化旅游公共交通</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开通重点乡村旅游景区的季节性旅游公交，积极发展沿海、沿山、城市风景道旅游观光巴士，完善自驾租车服务，在海滨大道等城市观光带沿线设立骑行驿站。</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2019年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rPr>
                <w:rFonts w:ascii="Times New Roman"/>
                <w:color w:val="000000"/>
                <w:sz w:val="24"/>
                <w:szCs w:val="24"/>
              </w:rPr>
            </w:pPr>
            <w:r>
              <w:rPr>
                <w:rFonts w:ascii="Times New Roman"/>
                <w:color w:val="000000"/>
                <w:sz w:val="24"/>
                <w:szCs w:val="24"/>
              </w:rPr>
              <w:t>市交通局、市建设局</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rPr>
                <w:rFonts w:ascii="Times New Roman"/>
                <w:color w:val="000000"/>
                <w:sz w:val="24"/>
                <w:szCs w:val="24"/>
              </w:rPr>
            </w:pPr>
            <w:r>
              <w:rPr>
                <w:rFonts w:ascii="Times New Roman"/>
                <w:color w:val="000000"/>
                <w:sz w:val="24"/>
                <w:szCs w:val="24"/>
              </w:rPr>
              <w:t>市旅游局</w:t>
            </w:r>
          </w:p>
        </w:tc>
      </w:tr>
      <w:tr>
        <w:tblPrEx>
          <w:tblLayout w:type="fixed"/>
          <w:tblCellMar>
            <w:top w:w="0" w:type="dxa"/>
            <w:left w:w="108" w:type="dxa"/>
            <w:bottom w:w="0" w:type="dxa"/>
            <w:right w:w="108" w:type="dxa"/>
          </w:tblCellMar>
        </w:tblPrEx>
        <w:trPr>
          <w:trHeight w:val="1926"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9</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将旅游业发展纳入各级政府年度目标绩效考核体系</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将旅游业发展纳入县区目标绩效考核管理专项工作指标，围绕旅游经济收入、旅游项目建设、旅游市场监管、旅游品牌培育、旅游市场宣传等方面考核各县区、功能区旅游业发展情况。</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2018年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rPr>
                <w:rFonts w:ascii="Times New Roman"/>
                <w:color w:val="000000"/>
                <w:sz w:val="24"/>
                <w:szCs w:val="24"/>
              </w:rPr>
            </w:pPr>
            <w:r>
              <w:rPr>
                <w:rFonts w:ascii="Times New Roman"/>
                <w:color w:val="000000"/>
                <w:sz w:val="24"/>
                <w:szCs w:val="24"/>
              </w:rPr>
              <w:t>市发改委</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rPr>
                <w:rFonts w:ascii="Times New Roman"/>
                <w:color w:val="000000"/>
                <w:sz w:val="24"/>
                <w:szCs w:val="24"/>
              </w:rPr>
            </w:pPr>
            <w:r>
              <w:rPr>
                <w:rFonts w:ascii="Times New Roman"/>
                <w:color w:val="000000"/>
                <w:sz w:val="24"/>
                <w:szCs w:val="24"/>
              </w:rPr>
              <w:t>市旅游局</w:t>
            </w:r>
          </w:p>
        </w:tc>
      </w:tr>
      <w:tr>
        <w:tblPrEx>
          <w:tblLayout w:type="fixed"/>
          <w:tblCellMar>
            <w:top w:w="0" w:type="dxa"/>
            <w:left w:w="108" w:type="dxa"/>
            <w:bottom w:w="0" w:type="dxa"/>
            <w:right w:w="108" w:type="dxa"/>
          </w:tblCellMar>
        </w:tblPrEx>
        <w:trPr>
          <w:trHeight w:val="810"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10</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组建市旅游发展委员会</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组建市旅游发展委员会，加强产业统筹和组织协调。</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2018年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rPr>
                <w:rFonts w:ascii="Times New Roman"/>
                <w:color w:val="000000"/>
                <w:sz w:val="24"/>
                <w:szCs w:val="24"/>
              </w:rPr>
            </w:pPr>
            <w:r>
              <w:rPr>
                <w:rFonts w:ascii="Times New Roman"/>
                <w:color w:val="000000"/>
                <w:sz w:val="24"/>
                <w:szCs w:val="24"/>
              </w:rPr>
              <w:t>市旅游局</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rPr>
                <w:rFonts w:ascii="Times New Roman"/>
                <w:color w:val="000000"/>
                <w:sz w:val="24"/>
                <w:szCs w:val="24"/>
              </w:rPr>
            </w:pPr>
            <w:r>
              <w:rPr>
                <w:rFonts w:ascii="Times New Roman"/>
                <w:color w:val="000000"/>
                <w:sz w:val="24"/>
                <w:szCs w:val="24"/>
              </w:rPr>
              <w:t>市编委办、市委组织部</w:t>
            </w:r>
          </w:p>
        </w:tc>
      </w:tr>
      <w:tr>
        <w:tblPrEx>
          <w:tblLayout w:type="fixed"/>
          <w:tblCellMar>
            <w:top w:w="0" w:type="dxa"/>
            <w:left w:w="108" w:type="dxa"/>
            <w:bottom w:w="0" w:type="dxa"/>
            <w:right w:w="108" w:type="dxa"/>
          </w:tblCellMar>
        </w:tblPrEx>
        <w:trPr>
          <w:trHeight w:val="1576"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11</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推广设立1+3旅游执法机构</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在花果山、连岛、海上云台山、东海水晶城等景区分别派驻旅游警察、旅游市场监管、旅游物价、旅游城管、旅游巡回法庭或旅游诉调中心等组织。</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2018年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东海县、连云区、云台山景区</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市公安局、市工商局、市物价局、市城管局、市中级人民法院、市旅游局</w:t>
            </w:r>
          </w:p>
        </w:tc>
      </w:tr>
      <w:tr>
        <w:tblPrEx>
          <w:tblLayout w:type="fixed"/>
          <w:tblCellMar>
            <w:top w:w="0" w:type="dxa"/>
            <w:left w:w="108" w:type="dxa"/>
            <w:bottom w:w="0" w:type="dxa"/>
            <w:right w:w="108" w:type="dxa"/>
          </w:tblCellMar>
        </w:tblPrEx>
        <w:trPr>
          <w:trHeight w:val="1701"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12</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健全多部门联合的旅游市场环境整治机制</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强化旅游质监执法队伍建设，巩固多部门联合执法机制，整合涉旅投诉查处资源，实现旅游投诉“一号通”。</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2018年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市旅游局</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市编委办、市公安局、市工商局、市城管局、市交通局、市海事局、市物价局、市食药监局</w:t>
            </w:r>
          </w:p>
        </w:tc>
      </w:tr>
      <w:tr>
        <w:tblPrEx>
          <w:tblLayout w:type="fixed"/>
          <w:tblCellMar>
            <w:top w:w="0" w:type="dxa"/>
            <w:left w:w="108" w:type="dxa"/>
            <w:bottom w:w="0" w:type="dxa"/>
            <w:right w:w="108" w:type="dxa"/>
          </w:tblCellMar>
        </w:tblPrEx>
        <w:trPr>
          <w:trHeight w:val="1394"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13</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国有景区实现所有权、经营权和管理权分离</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推动国有景区实现“三权分离”，建立“政企分开、管办分离、产权清晰、投资多元”的经营机制</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2019年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云台山景区、海州区、连云区</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市国资委、市旅游局、市城建控股集团</w:t>
            </w:r>
          </w:p>
        </w:tc>
      </w:tr>
      <w:tr>
        <w:tblPrEx>
          <w:tblLayout w:type="fixed"/>
          <w:tblCellMar>
            <w:top w:w="0" w:type="dxa"/>
            <w:left w:w="108" w:type="dxa"/>
            <w:bottom w:w="0" w:type="dxa"/>
            <w:right w:w="108" w:type="dxa"/>
          </w:tblCellMar>
        </w:tblPrEx>
        <w:trPr>
          <w:trHeight w:val="1156"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14</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建立完善旅游项目融资机制和奖励机制</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建立完善旅游项目融资机制和奖励机制，加大旅游产业招商引资力度，广泛吸引社会资本参与旅游项目建设</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2018年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市财政局</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市旅游局</w:t>
            </w:r>
          </w:p>
        </w:tc>
      </w:tr>
      <w:tr>
        <w:tblPrEx>
          <w:tblLayout w:type="fixed"/>
          <w:tblCellMar>
            <w:top w:w="0" w:type="dxa"/>
            <w:left w:w="108" w:type="dxa"/>
            <w:bottom w:w="0" w:type="dxa"/>
            <w:right w:w="108" w:type="dxa"/>
          </w:tblCellMar>
        </w:tblPrEx>
        <w:trPr>
          <w:trHeight w:val="1394" w:hRule="atLeast"/>
          <w:jc w:val="center"/>
        </w:trPr>
        <w:tc>
          <w:tcPr>
            <w:tcW w:w="729" w:type="dxa"/>
            <w:tcBorders>
              <w:top w:val="nil"/>
              <w:left w:val="single" w:color="auto" w:sz="4" w:space="0"/>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15</w:t>
            </w:r>
          </w:p>
        </w:tc>
        <w:tc>
          <w:tcPr>
            <w:tcW w:w="1341"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建立市县两级旅游集散体系</w:t>
            </w:r>
          </w:p>
        </w:tc>
        <w:tc>
          <w:tcPr>
            <w:tcW w:w="555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结合高铁站进行选址，市级旅游集散中心按省级旅游集散中心标准建设，每个县区建设1家旅游集散中心，实现旅游交通集散、自驾服务、餐饮配套、旅游咨询、宣传推广、特色购物等功能集于一体。</w:t>
            </w:r>
          </w:p>
        </w:tc>
        <w:tc>
          <w:tcPr>
            <w:tcW w:w="1094"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center"/>
              <w:rPr>
                <w:rFonts w:ascii="Times New Roman"/>
                <w:color w:val="000000"/>
                <w:sz w:val="24"/>
                <w:szCs w:val="24"/>
              </w:rPr>
            </w:pPr>
            <w:r>
              <w:rPr>
                <w:rFonts w:ascii="Times New Roman"/>
                <w:color w:val="000000"/>
                <w:sz w:val="24"/>
                <w:szCs w:val="24"/>
              </w:rPr>
              <w:t>2019年</w:t>
            </w:r>
          </w:p>
        </w:tc>
        <w:tc>
          <w:tcPr>
            <w:tcW w:w="2380"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市城建控股集团、各县区</w:t>
            </w:r>
          </w:p>
        </w:tc>
        <w:tc>
          <w:tcPr>
            <w:tcW w:w="2627" w:type="dxa"/>
            <w:tcBorders>
              <w:top w:val="nil"/>
              <w:left w:val="nil"/>
              <w:bottom w:val="single" w:color="auto" w:sz="4" w:space="0"/>
              <w:right w:val="single" w:color="auto" w:sz="4" w:space="0"/>
            </w:tcBorders>
            <w:tcMar>
              <w:left w:w="28" w:type="dxa"/>
              <w:right w:w="28" w:type="dxa"/>
            </w:tcMar>
            <w:vAlign w:val="center"/>
          </w:tcPr>
          <w:p>
            <w:pPr>
              <w:widowControl/>
              <w:autoSpaceDE/>
              <w:autoSpaceDN/>
              <w:adjustRightInd/>
              <w:spacing w:line="280" w:lineRule="exact"/>
              <w:ind w:firstLine="0"/>
              <w:jc w:val="left"/>
              <w:rPr>
                <w:rFonts w:ascii="Times New Roman"/>
                <w:color w:val="000000"/>
                <w:sz w:val="24"/>
                <w:szCs w:val="24"/>
              </w:rPr>
            </w:pPr>
            <w:r>
              <w:rPr>
                <w:rFonts w:ascii="Times New Roman"/>
                <w:color w:val="000000"/>
                <w:sz w:val="24"/>
                <w:szCs w:val="24"/>
              </w:rPr>
              <w:t>市交通局、市旅游局、市城管局</w:t>
            </w:r>
          </w:p>
        </w:tc>
      </w:tr>
    </w:tbl>
    <w:p>
      <w:pPr>
        <w:ind w:firstLine="0"/>
        <w:rPr>
          <w:rFonts w:ascii="Times New Roman"/>
          <w:color w:val="000000"/>
        </w:rPr>
        <w:sectPr>
          <w:pgSz w:w="16838" w:h="11906" w:orient="landscape"/>
          <w:pgMar w:top="1531" w:right="1531" w:bottom="1531" w:left="1531" w:header="1701" w:footer="1134" w:gutter="0"/>
          <w:cols w:space="720" w:num="1"/>
          <w:docGrid w:linePitch="435" w:charSpace="0"/>
        </w:sectPr>
      </w:pPr>
      <w:bookmarkStart w:id="0" w:name="_GoBack"/>
      <w:bookmarkEnd w:id="0"/>
    </w:p>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20A49"/>
    <w:rsid w:val="56E2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600" w:lineRule="atLeast"/>
      <w:ind w:firstLine="624"/>
      <w:jc w:val="both"/>
    </w:pPr>
    <w:rPr>
      <w:rFonts w:ascii="仿宋_GB2312" w:hAnsi="Times New Roman" w:eastAsia="仿宋_GB2312" w:cs="Times New Roman"/>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2018-09-14T01:44:00Z</dcterms:created>
  <dc:creator>Administrator</dc:creator>
  <cp:lastModifiedBy>Administrator</cp:lastModifiedBy>
  <dcterms:modified xsi:type="dcterms:W3CDTF">2018-09-14T01:44:33Z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