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我市职业学校重点专业建设情况</w:t>
      </w:r>
    </w:p>
    <w:tbl>
      <w:tblPr>
        <w:tblStyle w:val="3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520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-6"/>
                <w:szCs w:val="21"/>
              </w:rPr>
              <w:t>学   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 w:asci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-6"/>
                <w:szCs w:val="21"/>
              </w:rPr>
              <w:t>江苏省品牌特色专业（42）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 w:asci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-6"/>
                <w:szCs w:val="21"/>
              </w:rPr>
              <w:t>江苏省示范专业（40）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 w:asci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-6"/>
                <w:szCs w:val="21"/>
              </w:rPr>
              <w:t>市级品牌特色专业（44）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江苏财会职业学院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（连云港财经高等职业技术学校）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高职会计电算化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高职会计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高职会计与审计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高职计算机应用技术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社区管理与服务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江苏省连云港工贸高等职业技术学校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高职机电一体化技术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高职报关与国际货运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高职计算机网络技术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中职机电技术应用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高职汽车检测与维修技术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江苏省连云港中医药高等职业技术学校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高职中药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高职中药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高职护理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高职护理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高职药学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中职中药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中药制剂技术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高职药物制剂技术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数控技术应用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数控技术应用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化学工艺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工业与民用建筑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饭店服务与管理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电气运行与控制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建筑工程施工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江苏省赣榆中等专业学校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建筑工程施工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工业与民用建筑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工程造价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江苏省东海中等专业学校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珠宝玉石（水晶）加工与营销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水晶雕刻设计与制作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江苏省灌云中等专业学校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机械加工技术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机械加工技术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电子电器应用与维修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电子电器应用与维修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电子电器应用与维修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江苏省灌南中等专业学校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船舶制造与修理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江苏省大港中等专业学校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港口机械运行与维护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港口机械运行与维护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18"/>
              </w:rPr>
              <w:t>江苏省金山中等专业学校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现代农艺技术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农艺（种植）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畜禽生产与疾病防治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养殖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畜禽生产与疾病防治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连云港生物工程中等专业学校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畜禽生产与疾病防治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养殖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畜禽生产与疾病防治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农业机械使用与维护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种植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连云港海州中等专业学校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连云港市艺术学校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舞蹈表演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舞蹈表演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18"/>
              </w:rPr>
              <w:t>连云港市体育运动学校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连云港交通学校</w:t>
            </w:r>
          </w:p>
        </w:tc>
        <w:tc>
          <w:tcPr>
            <w:tcW w:w="2520" w:type="dxa"/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55EB7"/>
    <w:rsid w:val="753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2017-06-15T09:54:00Z</dcterms:created>
  <dc:creator>Administrator</dc:creator>
  <cp:lastModifiedBy>Administrator</cp:lastModifiedBy>
  <dcterms:modified xsi:type="dcterms:W3CDTF">2017-06-15T09:54:28Z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