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连发改行服发〔2022〕</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号</w:t>
      </w:r>
    </w:p>
    <w:p>
      <w:pPr>
        <w:spacing w:line="920" w:lineRule="exact"/>
        <w:rPr>
          <w:rFonts w:ascii="Times New Roman" w:hAnsi="Times New Roman" w:eastAsia="仿宋_GB2312"/>
          <w:sz w:val="32"/>
          <w:szCs w:val="32"/>
        </w:rPr>
      </w:pPr>
    </w:p>
    <w:p>
      <w:pPr>
        <w:spacing w:line="640" w:lineRule="exact"/>
        <w:jc w:val="center"/>
        <w:rPr>
          <w:rFonts w:ascii="方正小标宋简体" w:eastAsia="方正小标宋简体" w:hAnsiTheme="majorEastAsia" w:cstheme="majorEastAsia"/>
          <w:bCs/>
          <w:sz w:val="44"/>
          <w:szCs w:val="52"/>
        </w:rPr>
      </w:pPr>
      <w:r>
        <w:rPr>
          <w:rFonts w:hint="eastAsia" w:ascii="Times New Roman" w:hAnsi="Times New Roman" w:eastAsia="方正小标宋简体"/>
          <w:sz w:val="44"/>
          <w:szCs w:val="32"/>
        </w:rPr>
        <w:t>市发展改革委关于</w:t>
      </w:r>
      <w:r>
        <w:rPr>
          <w:rFonts w:hint="eastAsia" w:ascii="方正小标宋简体" w:eastAsia="方正小标宋简体" w:hAnsiTheme="majorEastAsia" w:cstheme="majorEastAsia"/>
          <w:bCs/>
          <w:sz w:val="44"/>
          <w:szCs w:val="52"/>
        </w:rPr>
        <w:t>连云港师范高等专科学校</w:t>
      </w:r>
    </w:p>
    <w:p>
      <w:pPr>
        <w:spacing w:line="640" w:lineRule="exact"/>
        <w:jc w:val="center"/>
        <w:rPr>
          <w:rFonts w:ascii="Times New Roman" w:hAnsi="Times New Roman" w:eastAsia="方正小标宋简体"/>
          <w:sz w:val="44"/>
          <w:szCs w:val="32"/>
        </w:rPr>
      </w:pPr>
      <w:r>
        <w:rPr>
          <w:rFonts w:hint="eastAsia" w:ascii="方正小标宋简体" w:eastAsia="方正小标宋简体" w:hAnsiTheme="majorEastAsia" w:cstheme="majorEastAsia"/>
          <w:bCs/>
          <w:sz w:val="44"/>
          <w:szCs w:val="52"/>
        </w:rPr>
        <w:t>二期工程</w:t>
      </w:r>
      <w:r>
        <w:rPr>
          <w:rFonts w:hint="eastAsia" w:ascii="Times New Roman" w:hAnsi="Times New Roman" w:eastAsia="方正小标宋简体"/>
          <w:sz w:val="44"/>
          <w:szCs w:val="32"/>
        </w:rPr>
        <w:t>初步设计的批复</w:t>
      </w:r>
    </w:p>
    <w:p>
      <w:pPr>
        <w:spacing w:line="54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hint="eastAsia" w:ascii="Times New Roman" w:hAnsi="Times New Roman" w:eastAsia="仿宋_GB2312"/>
          <w:sz w:val="32"/>
          <w:szCs w:val="32"/>
        </w:rPr>
        <w:t>连云港师范高等专科学校：</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报来《</w:t>
      </w:r>
      <w:r>
        <w:rPr>
          <w:rFonts w:hint="eastAsia" w:ascii="Times New Roman" w:hAnsi="Times New Roman" w:eastAsia="仿宋_GB2312"/>
          <w:sz w:val="32"/>
          <w:szCs w:val="32"/>
        </w:rPr>
        <w:t>关于申请连云港师范高等专科学校二期工程项目初步设计审批的请示》（</w:t>
      </w:r>
      <w:r>
        <w:rPr>
          <w:rFonts w:hint="eastAsia" w:ascii="Times New Roman" w:hAnsi="Times New Roman" w:eastAsia="仿宋_GB2312"/>
          <w:sz w:val="32"/>
          <w:szCs w:val="32"/>
          <w:highlight w:val="none"/>
        </w:rPr>
        <w:t>连师专〔2022〕</w:t>
      </w:r>
      <w:r>
        <w:rPr>
          <w:rFonts w:hint="eastAsia" w:ascii="Times New Roman" w:hAnsi="Times New Roman" w:eastAsia="仿宋_GB2312"/>
          <w:sz w:val="32"/>
          <w:szCs w:val="32"/>
          <w:highlight w:val="none"/>
          <w:lang w:val="en-US" w:eastAsia="zh-CN"/>
        </w:rPr>
        <w:t>19</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rPr>
        <w:t>）及有</w:t>
      </w:r>
      <w:bookmarkStart w:id="0" w:name="_GoBack"/>
      <w:bookmarkEnd w:id="0"/>
      <w:r>
        <w:rPr>
          <w:rFonts w:hint="eastAsia" w:ascii="Times New Roman" w:hAnsi="Times New Roman" w:eastAsia="仿宋_GB2312"/>
          <w:sz w:val="32"/>
          <w:szCs w:val="32"/>
        </w:rPr>
        <w:t>关材料收悉。经研究，现批复如下：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为创建连云港师范学院，提升高等教育发展水平，服务经济社会发展，依据《连云港市人民政府关于支持连云港师范高等专科学校升格为师范本科院校的若干意见》（连政发〔2021〕117号）、《关于印发&lt;创建连云港师范学院工作方案&gt;的通知》（连师院创建办〔2021〕1号）等要求，同意建设连云港师范高等专科学校二期工程。项目单位：连云港师范高等专科学校</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w:t>
      </w:r>
      <w:r>
        <w:rPr>
          <w:rFonts w:hint="eastAsia" w:ascii="Times New Roman" w:hAnsi="Times New Roman" w:eastAsia="仿宋_GB2312"/>
          <w:sz w:val="32"/>
          <w:szCs w:val="32"/>
        </w:rPr>
        <w:t>代</w:t>
      </w:r>
      <w:r>
        <w:rPr>
          <w:rFonts w:ascii="Times New Roman" w:hAnsi="Times New Roman" w:eastAsia="仿宋_GB2312"/>
          <w:sz w:val="32"/>
          <w:szCs w:val="32"/>
        </w:rPr>
        <w:t>码：2111-320700-04-01-171697。</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w:t>
      </w:r>
      <w:r>
        <w:rPr>
          <w:rFonts w:hint="eastAsia" w:ascii="Times New Roman" w:hAnsi="Times New Roman" w:eastAsia="仿宋_GB2312"/>
          <w:sz w:val="32"/>
          <w:szCs w:val="32"/>
        </w:rPr>
        <w:t>建设地点</w:t>
      </w:r>
      <w:r>
        <w:rPr>
          <w:rFonts w:ascii="Times New Roman" w:hAnsi="Times New Roman" w:eastAsia="仿宋_GB2312"/>
          <w:sz w:val="32"/>
          <w:szCs w:val="32"/>
        </w:rPr>
        <w:t>位于</w:t>
      </w:r>
      <w:r>
        <w:rPr>
          <w:rFonts w:hint="eastAsia" w:ascii="Times New Roman" w:hAnsi="Times New Roman" w:eastAsia="仿宋_GB2312"/>
          <w:sz w:val="32"/>
          <w:szCs w:val="32"/>
        </w:rPr>
        <w:t>海州区圣湖路28号</w:t>
      </w:r>
      <w:r>
        <w:rPr>
          <w:rFonts w:ascii="Times New Roman" w:hAnsi="Times New Roman" w:eastAsia="仿宋_GB2312"/>
          <w:sz w:val="32"/>
          <w:szCs w:val="32"/>
        </w:rPr>
        <w:t>，</w:t>
      </w:r>
      <w:r>
        <w:rPr>
          <w:rFonts w:hint="eastAsia" w:ascii="Times New Roman" w:hAnsi="Times New Roman" w:eastAsia="仿宋_GB2312"/>
          <w:sz w:val="32"/>
          <w:szCs w:val="32"/>
        </w:rPr>
        <w:t>连云港师范高等专科学校内，不涉及新增用地。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三、项目新增总建筑面积48648.94平方米，</w:t>
      </w:r>
      <w:r>
        <w:rPr>
          <w:rFonts w:hint="eastAsia" w:ascii="Times New Roman" w:hAnsi="Times New Roman" w:eastAsia="仿宋_GB2312"/>
          <w:sz w:val="32"/>
          <w:szCs w:val="32"/>
        </w:rPr>
        <w:t>其中，地上建筑面积43776.23</w:t>
      </w:r>
      <w:r>
        <w:rPr>
          <w:rFonts w:ascii="Times New Roman" w:hAnsi="Times New Roman" w:eastAsia="仿宋_GB2312"/>
          <w:sz w:val="32"/>
          <w:szCs w:val="32"/>
        </w:rPr>
        <w:t>平方米</w:t>
      </w:r>
      <w:r>
        <w:rPr>
          <w:rFonts w:hint="eastAsia" w:ascii="Times New Roman" w:hAnsi="Times New Roman" w:eastAsia="仿宋_GB2312"/>
          <w:sz w:val="32"/>
          <w:szCs w:val="32"/>
        </w:rPr>
        <w:t>，地下建筑面积4872.71</w:t>
      </w:r>
      <w:r>
        <w:rPr>
          <w:rFonts w:ascii="Times New Roman" w:hAnsi="Times New Roman" w:eastAsia="仿宋_GB2312"/>
          <w:sz w:val="32"/>
          <w:szCs w:val="32"/>
        </w:rPr>
        <w:t>平方米</w:t>
      </w:r>
      <w:r>
        <w:rPr>
          <w:rFonts w:hint="eastAsia" w:ascii="Times New Roman" w:hAnsi="Times New Roman" w:eastAsia="仿宋_GB2312"/>
          <w:sz w:val="32"/>
          <w:szCs w:val="32"/>
        </w:rPr>
        <w:t>。主要建设内容包括：（1）新建大学生活动中心，建筑面积19103.26</w:t>
      </w:r>
      <w:r>
        <w:rPr>
          <w:rFonts w:ascii="Times New Roman" w:hAnsi="Times New Roman" w:eastAsia="仿宋_GB2312"/>
          <w:sz w:val="32"/>
          <w:szCs w:val="32"/>
        </w:rPr>
        <w:t>平方米</w:t>
      </w:r>
      <w:r>
        <w:rPr>
          <w:rFonts w:hint="eastAsia" w:ascii="Times New Roman" w:hAnsi="Times New Roman" w:eastAsia="仿宋_GB2312"/>
          <w:sz w:val="32"/>
          <w:szCs w:val="32"/>
        </w:rPr>
        <w:t>，</w:t>
      </w:r>
      <w:r>
        <w:rPr>
          <w:rFonts w:ascii="Times New Roman" w:hAnsi="Times New Roman" w:eastAsia="仿宋_GB2312"/>
          <w:sz w:val="32"/>
          <w:szCs w:val="32"/>
        </w:rPr>
        <w:t>建筑主体</w:t>
      </w:r>
      <w:r>
        <w:rPr>
          <w:rFonts w:hint="eastAsia" w:ascii="Times New Roman" w:hAnsi="Times New Roman" w:eastAsia="仿宋_GB2312"/>
          <w:sz w:val="32"/>
          <w:szCs w:val="32"/>
        </w:rPr>
        <w:t>地上3层，地下1层；（2）新建文科实训楼，建筑面积13730.21</w:t>
      </w:r>
      <w:r>
        <w:rPr>
          <w:rFonts w:ascii="Times New Roman" w:hAnsi="Times New Roman" w:eastAsia="仿宋_GB2312"/>
          <w:sz w:val="32"/>
          <w:szCs w:val="32"/>
        </w:rPr>
        <w:t>平方米</w:t>
      </w:r>
      <w:r>
        <w:rPr>
          <w:rFonts w:hint="eastAsia" w:ascii="Times New Roman" w:hAnsi="Times New Roman" w:eastAsia="仿宋_GB2312"/>
          <w:sz w:val="32"/>
          <w:szCs w:val="32"/>
        </w:rPr>
        <w:t>，建筑主体地上4层；（3）续建体育馆，建筑面积11721.59</w:t>
      </w:r>
      <w:r>
        <w:rPr>
          <w:rFonts w:ascii="Times New Roman" w:hAnsi="Times New Roman" w:eastAsia="仿宋_GB2312"/>
          <w:sz w:val="32"/>
          <w:szCs w:val="32"/>
        </w:rPr>
        <w:t>平方米</w:t>
      </w:r>
      <w:r>
        <w:rPr>
          <w:rFonts w:hint="eastAsia" w:ascii="Times New Roman" w:hAnsi="Times New Roman" w:eastAsia="仿宋_GB2312"/>
          <w:sz w:val="32"/>
          <w:szCs w:val="32"/>
        </w:rPr>
        <w:t>，建筑主体地上2层；（4）续建综合实训楼，内部加建部分建筑面积4093.88</w:t>
      </w:r>
      <w:r>
        <w:rPr>
          <w:rFonts w:ascii="Times New Roman" w:hAnsi="Times New Roman" w:eastAsia="仿宋_GB2312"/>
          <w:sz w:val="32"/>
          <w:szCs w:val="32"/>
        </w:rPr>
        <w:t>平方米</w:t>
      </w:r>
      <w:r>
        <w:rPr>
          <w:rFonts w:hint="eastAsia" w:ascii="Times New Roman" w:hAnsi="Times New Roman" w:eastAsia="仿宋_GB2312"/>
          <w:sz w:val="32"/>
          <w:szCs w:val="32"/>
        </w:rPr>
        <w:t>，内部加建主体地上3层；（4）配套工程，主要包括景观绿化、道路、地面停车位等室</w:t>
      </w:r>
      <w:r>
        <w:rPr>
          <w:rFonts w:ascii="Times New Roman" w:hAnsi="Times New Roman" w:eastAsia="仿宋_GB2312"/>
          <w:sz w:val="32"/>
          <w:szCs w:val="32"/>
        </w:rPr>
        <w:t>外工程。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四、主要设计技术标准</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1、原则同意项目建筑平面、立面、剖面、装饰部分设计。</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2、原则同意项目结构部分设计。大学生活动中心结构型式采用框架剪力墙结构，基础型式采用预应力方桩基础；文科实训楼、体育馆结构型式均为框架结构，基础型式采用预应力方桩基础；综合实训楼（</w:t>
      </w:r>
      <w:r>
        <w:rPr>
          <w:rFonts w:ascii="Times New Roman" w:hAnsi="Times New Roman" w:eastAsia="仿宋_GB2312"/>
          <w:sz w:val="32"/>
          <w:szCs w:val="32"/>
        </w:rPr>
        <w:t>内部加建</w:t>
      </w:r>
      <w:r>
        <w:rPr>
          <w:rFonts w:hint="eastAsia" w:ascii="Times New Roman" w:hAnsi="Times New Roman" w:eastAsia="仿宋_GB2312"/>
          <w:sz w:val="32"/>
          <w:szCs w:val="32"/>
        </w:rPr>
        <w:t>部分）结构型式为框架结构，基础型式采用灌注桩。大学生活动中心报告厅抗震设防类别为乙类，其余建筑抗震设防类别均为丙类。地震设防烈度7度。</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原则同意项目给排水设计。项目生活、消防用水均取自市政给水管网，地下一层、一至二层生活给水由市政给水管网直供，二层及以上楼层生活给水由生活泵房内变频恒压供水设备增压供给。室外采用雨污分流制，排入市政管网。</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4、原则同意项目电气设计。供电电源由校区内开闭所提供二回路10kV电源，项目除电梯、消防设备为二级负荷，其余均为三级负荷。低压配电系统接地型式为TN-S及TN-C-S。</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5、原则同意项目暖通设计。大学生活动中心除多功能厅外和综合实训楼加建部分的一、二层采用多联式空调系统，其余采用分体式空调。</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6、原则同意项目装配式、</w:t>
      </w:r>
      <w:r>
        <w:rPr>
          <w:rFonts w:ascii="Times New Roman" w:hAnsi="Times New Roman" w:eastAsia="仿宋_GB2312"/>
          <w:sz w:val="32"/>
          <w:szCs w:val="32"/>
        </w:rPr>
        <w:t>消防</w:t>
      </w:r>
      <w:r>
        <w:rPr>
          <w:rFonts w:hint="eastAsia" w:ascii="Times New Roman" w:hAnsi="Times New Roman" w:eastAsia="仿宋_GB2312"/>
          <w:sz w:val="32"/>
          <w:szCs w:val="32"/>
        </w:rPr>
        <w:t>、智能化、绿色建筑、海绵城市</w:t>
      </w:r>
      <w:r>
        <w:rPr>
          <w:rFonts w:ascii="Times New Roman" w:hAnsi="Times New Roman" w:eastAsia="仿宋_GB2312"/>
          <w:sz w:val="32"/>
          <w:szCs w:val="32"/>
        </w:rPr>
        <w:t>等</w:t>
      </w:r>
      <w:r>
        <w:rPr>
          <w:rFonts w:hint="eastAsia" w:ascii="Times New Roman" w:hAnsi="Times New Roman" w:eastAsia="仿宋_GB2312"/>
          <w:sz w:val="32"/>
          <w:szCs w:val="32"/>
        </w:rPr>
        <w:t>部分设计</w:t>
      </w:r>
      <w:r>
        <w:rPr>
          <w:rFonts w:ascii="Times New Roman" w:hAnsi="Times New Roman" w:eastAsia="仿宋_GB2312"/>
          <w:sz w:val="32"/>
          <w:szCs w:val="32"/>
        </w:rPr>
        <w:t>。</w:t>
      </w:r>
    </w:p>
    <w:p>
      <w:pPr>
        <w:overflowPunct w:val="0"/>
        <w:autoSpaceDE w:val="0"/>
        <w:autoSpaceDN w:val="0"/>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、项目</w:t>
      </w:r>
      <w:r>
        <w:rPr>
          <w:rFonts w:hint="eastAsia" w:ascii="Times New Roman" w:hAnsi="Times New Roman" w:eastAsia="仿宋_GB2312"/>
          <w:sz w:val="32"/>
          <w:szCs w:val="32"/>
        </w:rPr>
        <w:t>总投资概算为23497.8929万元，其中工程费用22101.7407万元、工程建设其他费用879.0837万元、预备费517.0685万元</w:t>
      </w:r>
      <w:r>
        <w:rPr>
          <w:rFonts w:ascii="Times New Roman" w:hAnsi="Times New Roman" w:eastAsia="仿宋_GB2312"/>
          <w:sz w:val="32"/>
          <w:szCs w:val="32"/>
        </w:rPr>
        <w:t>，资金来源</w:t>
      </w:r>
      <w:r>
        <w:rPr>
          <w:rFonts w:hint="eastAsia" w:ascii="Times New Roman" w:hAnsi="Times New Roman" w:eastAsia="仿宋_GB2312"/>
          <w:sz w:val="32"/>
          <w:szCs w:val="32"/>
        </w:rPr>
        <w:t>由市财政统筹相关方式解决</w:t>
      </w:r>
      <w:r>
        <w:rPr>
          <w:rFonts w:ascii="Times New Roman" w:hAnsi="Times New Roman" w:eastAsia="仿宋_GB2312"/>
          <w:sz w:val="32"/>
          <w:szCs w:val="32"/>
        </w:rPr>
        <w:t>。</w:t>
      </w:r>
      <w:r>
        <w:rPr>
          <w:rFonts w:hint="eastAsia" w:ascii="Times New Roman" w:hAnsi="Times New Roman" w:eastAsia="仿宋_GB2312"/>
          <w:sz w:val="32"/>
          <w:szCs w:val="32"/>
        </w:rPr>
        <w:t>根据防范化解地方政府隐性债务风险相关工作要求，项目资金筹措不得直接或变相新增隐性债务。</w:t>
      </w:r>
      <w:r>
        <w:rPr>
          <w:rFonts w:ascii="Times New Roman" w:hAnsi="Times New Roman" w:eastAsia="仿宋_GB2312"/>
          <w:sz w:val="32"/>
          <w:szCs w:val="32"/>
        </w:rPr>
        <w:t>项目所需资金应当按照国家有关规定确保落实到位，不得由施工单位垫资建设，切实保障农民工工资按时足额拨付。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、项目建设期为</w:t>
      </w:r>
      <w:r>
        <w:rPr>
          <w:rFonts w:hint="eastAsia" w:ascii="Times New Roman" w:hAnsi="Times New Roman" w:eastAsia="仿宋_GB2312"/>
          <w:sz w:val="32"/>
          <w:szCs w:val="32"/>
        </w:rPr>
        <w:t>530天。</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七、根据《江苏省政府投资非盈利性工程建设项目集中建设管理办法（试行）》（苏政传发〔</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4</w:t>
      </w:r>
      <w:r>
        <w:rPr>
          <w:rFonts w:hint="eastAsia" w:ascii="Times New Roman" w:hAnsi="Times New Roman" w:eastAsia="仿宋_GB2312"/>
          <w:sz w:val="32"/>
          <w:szCs w:val="32"/>
        </w:rPr>
        <w:t>0号）要求，本项目实行集中建设，</w:t>
      </w:r>
      <w:r>
        <w:rPr>
          <w:rFonts w:hint="eastAsia" w:hAnsi="仿宋_GB2312" w:eastAsia="仿宋_GB2312"/>
          <w:sz w:val="32"/>
          <w:szCs w:val="32"/>
        </w:rPr>
        <w:t>连云港市政府工程建设管理中心</w:t>
      </w:r>
      <w:r>
        <w:rPr>
          <w:rFonts w:hint="eastAsia" w:ascii="Times New Roman" w:hAnsi="Times New Roman" w:eastAsia="仿宋_GB2312"/>
          <w:sz w:val="32"/>
          <w:szCs w:val="32"/>
        </w:rPr>
        <w:t>作为项目建设实施主体，履行建设单位职责。</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、项目单位应当通过江苏省投资项目在线审批监管平台如实、及时报送项目开工建设、建设进度、竣工等基本信息。</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w:t>
      </w:r>
      <w:r>
        <w:rPr>
          <w:rFonts w:ascii="Times New Roman" w:hAnsi="Times New Roman" w:eastAsia="仿宋_GB2312"/>
          <w:sz w:val="32"/>
          <w:szCs w:val="32"/>
        </w:rPr>
        <w:t>、切实强化安全生产管理。在项目实施过程中，要严格执行“三同时”制度，按照相关规章制度压实项目建设单位和相关责任主体安全生产及监管责任，严防安全生产事故。要加强施工环境分析，认真排查并及时消除项目本身与周边设施相交相邻等可能存在的安全隐患，不得在未采取有效处理措施的情况下开展建设。</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w:t>
      </w:r>
      <w:r>
        <w:rPr>
          <w:rFonts w:ascii="Times New Roman" w:hAnsi="Times New Roman" w:eastAsia="仿宋_GB2312"/>
          <w:sz w:val="32"/>
          <w:szCs w:val="32"/>
        </w:rPr>
        <w:t>要严格执行国家</w:t>
      </w:r>
      <w:r>
        <w:rPr>
          <w:rFonts w:hint="eastAsia" w:ascii="Times New Roman" w:hAnsi="Times New Roman" w:eastAsia="仿宋_GB2312"/>
          <w:sz w:val="32"/>
          <w:szCs w:val="32"/>
        </w:rPr>
        <w:t>、</w:t>
      </w:r>
      <w:r>
        <w:rPr>
          <w:rFonts w:ascii="Times New Roman" w:hAnsi="Times New Roman" w:eastAsia="仿宋_GB2312"/>
          <w:sz w:val="32"/>
          <w:szCs w:val="32"/>
        </w:rPr>
        <w:t>省</w:t>
      </w:r>
      <w:r>
        <w:rPr>
          <w:rFonts w:hint="eastAsia" w:ascii="Times New Roman" w:hAnsi="Times New Roman" w:eastAsia="仿宋_GB2312"/>
          <w:sz w:val="32"/>
          <w:szCs w:val="32"/>
        </w:rPr>
        <w:t>和市</w:t>
      </w:r>
      <w:r>
        <w:rPr>
          <w:rFonts w:ascii="Times New Roman" w:hAnsi="Times New Roman" w:eastAsia="仿宋_GB2312"/>
          <w:sz w:val="32"/>
          <w:szCs w:val="32"/>
        </w:rPr>
        <w:t>严控楼堂馆所相关规定，禁止</w:t>
      </w:r>
      <w:r>
        <w:rPr>
          <w:rFonts w:hint="eastAsia" w:ascii="Times New Roman" w:hAnsi="Times New Roman" w:eastAsia="仿宋_GB2312"/>
          <w:sz w:val="32"/>
          <w:szCs w:val="32"/>
        </w:rPr>
        <w:t>新建或</w:t>
      </w:r>
      <w:r>
        <w:rPr>
          <w:rFonts w:ascii="Times New Roman" w:hAnsi="Times New Roman" w:eastAsia="仿宋_GB2312"/>
          <w:sz w:val="32"/>
          <w:szCs w:val="32"/>
        </w:rPr>
        <w:t>搭车建设</w:t>
      </w:r>
      <w:r>
        <w:rPr>
          <w:rFonts w:hint="eastAsia" w:ascii="Times New Roman" w:hAnsi="Times New Roman" w:eastAsia="仿宋_GB2312"/>
          <w:sz w:val="32"/>
          <w:szCs w:val="32"/>
        </w:rPr>
        <w:t>楼堂馆所。</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w:t>
      </w:r>
      <w:r>
        <w:rPr>
          <w:rFonts w:ascii="Times New Roman" w:hAnsi="Times New Roman" w:eastAsia="仿宋_GB2312"/>
          <w:sz w:val="32"/>
          <w:szCs w:val="32"/>
        </w:rPr>
        <w:t>、其他未尽事宜请根据国家法律法规、工程建设标准定额、设计规范规程（特别是强制性条文）等规定和要求，结合专家</w:t>
      </w:r>
      <w:r>
        <w:rPr>
          <w:rFonts w:hint="eastAsia" w:ascii="Times New Roman" w:hAnsi="Times New Roman" w:eastAsia="仿宋_GB2312"/>
          <w:sz w:val="32"/>
          <w:szCs w:val="32"/>
        </w:rPr>
        <w:t>评审</w:t>
      </w:r>
      <w:r>
        <w:rPr>
          <w:rFonts w:ascii="Times New Roman" w:hAnsi="Times New Roman" w:eastAsia="仿宋_GB2312"/>
          <w:sz w:val="32"/>
          <w:szCs w:val="32"/>
        </w:rPr>
        <w:t>意见予以落实。</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w:t>
      </w:r>
      <w:r>
        <w:rPr>
          <w:rFonts w:ascii="Times New Roman" w:hAnsi="Times New Roman" w:eastAsia="仿宋_GB2312"/>
          <w:sz w:val="32"/>
          <w:szCs w:val="32"/>
        </w:rPr>
        <w:t>请抓紧开展施工图设计，按规定办理齐备相关审批手续后方可开工建设。</w:t>
      </w:r>
      <w:r>
        <w:rPr>
          <w:rFonts w:hint="eastAsia" w:ascii="Times New Roman" w:hAnsi="Times New Roman" w:eastAsia="仿宋_GB2312"/>
          <w:sz w:val="32"/>
          <w:szCs w:val="32"/>
        </w:rPr>
        <w:t>请</w:t>
      </w:r>
      <w:r>
        <w:rPr>
          <w:rFonts w:ascii="Times New Roman" w:hAnsi="Times New Roman" w:eastAsia="仿宋_GB2312"/>
          <w:sz w:val="32"/>
          <w:szCs w:val="32"/>
        </w:rPr>
        <w:t>认真贯彻项目法人责任制、招标投标制、工程监理制、合同管理制等规定，狠抓“质量、工期、投资”三大控制，认真贯彻落实消防安全要求，确保工程建设顺利进行和社会稳定，按期建成投入使用，发挥工程效益。</w:t>
      </w:r>
    </w:p>
    <w:p>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w:t>
      </w:r>
      <w:r>
        <w:rPr>
          <w:rFonts w:ascii="Times New Roman" w:hAnsi="Times New Roman" w:eastAsia="仿宋_GB2312"/>
          <w:sz w:val="32"/>
          <w:szCs w:val="32"/>
        </w:rPr>
        <w:t>本批复有效期</w:t>
      </w:r>
      <w:r>
        <w:rPr>
          <w:rFonts w:hint="eastAsia" w:ascii="Times New Roman" w:hAnsi="Times New Roman" w:eastAsia="仿宋_GB2312"/>
          <w:sz w:val="32"/>
          <w:szCs w:val="32"/>
        </w:rPr>
        <w:t>12个月</w:t>
      </w:r>
      <w:r>
        <w:rPr>
          <w:rFonts w:ascii="Times New Roman" w:hAnsi="Times New Roman" w:eastAsia="仿宋_GB2312"/>
          <w:sz w:val="32"/>
          <w:szCs w:val="32"/>
        </w:rPr>
        <w:t>，自签发之日起计算。</w:t>
      </w:r>
      <w:r>
        <w:rPr>
          <w:rFonts w:hint="eastAsia" w:ascii="Times New Roman" w:hAnsi="Times New Roman" w:eastAsia="仿宋_GB2312"/>
          <w:sz w:val="32"/>
          <w:szCs w:val="32"/>
        </w:rPr>
        <w:t>有效期内未开工建设需要延长有效期的，请项目单位在批复有效期限届满的30个工作日前，向我委申请延期。批复文件有效期只能延期一次，期限</w:t>
      </w:r>
      <w:r>
        <w:rPr>
          <w:rFonts w:ascii="Times New Roman" w:hAnsi="Times New Roman" w:eastAsia="仿宋_GB2312"/>
          <w:sz w:val="32"/>
          <w:szCs w:val="32"/>
        </w:rPr>
        <w:t>最长不得超过1年。</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附件：连云港师范高等专科学校二期工程初步设计总概算表</w:t>
      </w:r>
    </w:p>
    <w:p>
      <w:pPr>
        <w:spacing w:line="540" w:lineRule="exact"/>
        <w:ind w:firstLine="640" w:firstLineChars="200"/>
        <w:rPr>
          <w:rFonts w:hint="eastAsia"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p>
    <w:p>
      <w:pPr>
        <w:spacing w:line="540" w:lineRule="exact"/>
        <w:ind w:right="735" w:rightChars="350" w:firstLine="5244" w:firstLineChars="1639"/>
        <w:jc w:val="center"/>
        <w:rPr>
          <w:rFonts w:ascii="Times New Roman" w:hAnsi="Times New Roman" w:eastAsia="仿宋_GB2312"/>
          <w:sz w:val="32"/>
          <w:szCs w:val="32"/>
        </w:rPr>
      </w:pPr>
      <w:r>
        <w:rPr>
          <w:rFonts w:hint="eastAsia" w:ascii="Times New Roman" w:hAnsi="Times New Roman" w:eastAsia="仿宋_GB2312"/>
          <w:sz w:val="32"/>
          <w:szCs w:val="32"/>
        </w:rPr>
        <w:t>连云港市发展改革委</w:t>
      </w:r>
    </w:p>
    <w:p>
      <w:pPr>
        <w:spacing w:line="540" w:lineRule="exact"/>
        <w:ind w:right="735" w:rightChars="350" w:firstLine="5244" w:firstLineChars="1639"/>
        <w:jc w:val="center"/>
        <w:rPr>
          <w:rFonts w:ascii="Times New Roman" w:hAnsi="Times New Roman" w:eastAsia="仿宋_GB2312"/>
          <w:sz w:val="32"/>
          <w:szCs w:val="32"/>
        </w:rPr>
      </w:pPr>
      <w:r>
        <w:rPr>
          <w:rFonts w:hint="eastAsia" w:ascii="Times New Roman" w:hAnsi="Times New Roman" w:eastAsia="仿宋_GB2312"/>
          <w:sz w:val="32"/>
          <w:szCs w:val="32"/>
        </w:rPr>
        <w:t>2022年5月</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日</w:t>
      </w:r>
    </w:p>
    <w:p>
      <w:pPr>
        <w:rPr>
          <w:rFonts w:ascii="Times New Roman" w:hAnsi="Times New Roman" w:eastAsia="仿宋_GB2312"/>
          <w:sz w:val="32"/>
          <w:szCs w:val="32"/>
        </w:rPr>
      </w:pPr>
      <w:r>
        <w:rPr>
          <w:rFonts w:hint="eastAsia" w:ascii="Times New Roman" w:hAnsi="Times New Roman" w:eastAsia="仿宋_GB2312"/>
          <w:sz w:val="32"/>
          <w:szCs w:val="32"/>
        </w:rPr>
        <w:drawing>
          <wp:inline distT="0" distB="0" distL="0" distR="0">
            <wp:extent cx="4495800" cy="1466850"/>
            <wp:effectExtent l="19050" t="0" r="0" b="0"/>
            <wp:docPr id="1" name="图片 1" descr="E:\桌面\c5d710adc30643f88333e238a5c37b7b_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桌面\c5d710adc30643f88333e238a5c37b7b_search.png"/>
                    <pic:cNvPicPr>
                      <a:picLocks noChangeAspect="1" noChangeArrowheads="1"/>
                    </pic:cNvPicPr>
                  </pic:nvPicPr>
                  <pic:blipFill>
                    <a:blip r:embed="rId6"/>
                    <a:srcRect t="10714" b="10714"/>
                    <a:stretch>
                      <a:fillRect/>
                    </a:stretch>
                  </pic:blipFill>
                  <pic:spPr>
                    <a:xfrm>
                      <a:off x="0" y="0"/>
                      <a:ext cx="4495800" cy="1466850"/>
                    </a:xfrm>
                    <a:prstGeom prst="rect">
                      <a:avLst/>
                    </a:prstGeom>
                    <a:noFill/>
                    <a:ln w="9525">
                      <a:noFill/>
                      <a:miter lim="800000"/>
                      <a:headEnd/>
                      <a:tailEnd/>
                    </a:ln>
                  </pic:spPr>
                </pic:pic>
              </a:graphicData>
            </a:graphic>
          </wp:inline>
        </w:drawing>
      </w:r>
    </w:p>
    <w:p>
      <w:pPr>
        <w:overflowPunct w:val="0"/>
        <w:spacing w:line="560" w:lineRule="exact"/>
        <w:rPr>
          <w:rFonts w:ascii="Times New Roman" w:hAnsi="Times New Roman" w:eastAsia="黑体"/>
          <w:kern w:val="0"/>
          <w:sz w:val="32"/>
          <w:szCs w:val="32"/>
        </w:rPr>
      </w:pPr>
      <w:r>
        <w:rPr>
          <w:rFonts w:ascii="Times New Roman" w:hAnsi="Times New Roman" w:eastAsia="黑体"/>
          <w:kern w:val="0"/>
          <w:sz w:val="32"/>
          <w:szCs w:val="32"/>
        </w:rPr>
        <w:t>附件</w:t>
      </w:r>
    </w:p>
    <w:p>
      <w:pPr>
        <w:overflowPunct w:val="0"/>
        <w:snapToGrid w:val="0"/>
        <w:spacing w:line="600" w:lineRule="exact"/>
        <w:jc w:val="center"/>
        <w:rPr>
          <w:rFonts w:hint="eastAsia"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连云港师范高等专科学校二期工程</w:t>
      </w:r>
    </w:p>
    <w:p>
      <w:pPr>
        <w:overflowPunct w:val="0"/>
        <w:snapToGrid w:val="0"/>
        <w:spacing w:line="600" w:lineRule="exact"/>
        <w:jc w:val="center"/>
        <w:rPr>
          <w:rFonts w:hint="eastAsia"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初步设计总概算表</w:t>
      </w:r>
    </w:p>
    <w:p>
      <w:pPr>
        <w:overflowPunct w:val="0"/>
        <w:snapToGrid w:val="0"/>
        <w:spacing w:line="400" w:lineRule="exact"/>
        <w:jc w:val="center"/>
        <w:rPr>
          <w:rFonts w:ascii="方正小标宋简体" w:hAnsi="Times New Roman" w:eastAsia="方正小标宋简体"/>
          <w:color w:val="000000"/>
          <w:sz w:val="36"/>
          <w:szCs w:val="36"/>
        </w:rPr>
      </w:pPr>
    </w:p>
    <w:tbl>
      <w:tblPr>
        <w:tblStyle w:val="6"/>
        <w:tblW w:w="7634" w:type="dxa"/>
        <w:jc w:val="center"/>
        <w:tblLayout w:type="autofit"/>
        <w:tblCellMar>
          <w:top w:w="0" w:type="dxa"/>
          <w:left w:w="108" w:type="dxa"/>
          <w:bottom w:w="0" w:type="dxa"/>
          <w:right w:w="108" w:type="dxa"/>
        </w:tblCellMar>
      </w:tblPr>
      <w:tblGrid>
        <w:gridCol w:w="1414"/>
        <w:gridCol w:w="3688"/>
        <w:gridCol w:w="2532"/>
      </w:tblGrid>
      <w:tr>
        <w:tblPrEx>
          <w:tblCellMar>
            <w:top w:w="0" w:type="dxa"/>
            <w:left w:w="108" w:type="dxa"/>
            <w:bottom w:w="0" w:type="dxa"/>
            <w:right w:w="108" w:type="dxa"/>
          </w:tblCellMar>
        </w:tblPrEx>
        <w:trPr>
          <w:trHeight w:val="369" w:hRule="atLeast"/>
          <w:tblHeader/>
          <w:jc w:val="center"/>
        </w:trPr>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项目或费用名称</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Cs w:val="21"/>
              </w:rPr>
            </w:pPr>
            <w:r>
              <w:rPr>
                <w:rFonts w:hint="eastAsia" w:ascii="宋体" w:hAnsi="宋体" w:cs="宋体"/>
                <w:b/>
                <w:bCs/>
                <w:kern w:val="0"/>
                <w:szCs w:val="21"/>
              </w:rPr>
              <w:t>核定金额（万元）</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第一部分</w:t>
            </w:r>
          </w:p>
        </w:tc>
        <w:tc>
          <w:tcPr>
            <w:tcW w:w="36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工程费用</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22101.7407</w:t>
            </w:r>
          </w:p>
        </w:tc>
      </w:tr>
      <w:tr>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体育馆</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5775.7824</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土建工程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4189.1748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1.2</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桩基工程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285.7930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钢结构工程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273.9293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水电工程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310.3480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消防工程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241.4695</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智能化工程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42.2777</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1.7</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暖通工程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432.7902</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大学生活动中心</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7529.6513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土建工程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5915.4557</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2.2</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桩基工程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389.3565</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大型土石方工程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118.6328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钢结构工程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176.3080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水电工程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420.9069</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消防工程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275.2331</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2.7</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暖通工程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175.8175</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2.8</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智能化工程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57.9408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文科实训楼</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4709.8844</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土建工程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3985.1893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3.2</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桩基工程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193.0233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水电工程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325.2857</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消防工程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74.6249</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暖通工程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65.1538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3.6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智能化工程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66.6073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综合实训楼</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2094.1128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4.1</w:t>
            </w:r>
          </w:p>
        </w:tc>
        <w:tc>
          <w:tcPr>
            <w:tcW w:w="3688" w:type="dxa"/>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土建工程</w:t>
            </w:r>
          </w:p>
        </w:tc>
        <w:tc>
          <w:tcPr>
            <w:tcW w:w="2532" w:type="dxa"/>
            <w:tcBorders>
              <w:top w:val="nil"/>
              <w:left w:val="nil"/>
              <w:bottom w:val="single" w:color="000000" w:sz="8"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1645.5592</w:t>
            </w:r>
          </w:p>
        </w:tc>
      </w:tr>
      <w:tr>
        <w:tblPrEx>
          <w:tblCellMar>
            <w:top w:w="0" w:type="dxa"/>
            <w:left w:w="108" w:type="dxa"/>
            <w:bottom w:w="0" w:type="dxa"/>
            <w:right w:w="108" w:type="dxa"/>
          </w:tblCellMar>
        </w:tblPrEx>
        <w:trPr>
          <w:trHeight w:val="369" w:hRule="atLeast"/>
          <w:jc w:val="center"/>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4.2</w:t>
            </w:r>
          </w:p>
        </w:tc>
        <w:tc>
          <w:tcPr>
            <w:tcW w:w="3688"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桩基工程</w:t>
            </w:r>
          </w:p>
        </w:tc>
        <w:tc>
          <w:tcPr>
            <w:tcW w:w="2532" w:type="dxa"/>
            <w:tcBorders>
              <w:top w:val="single" w:color="000000" w:sz="4" w:space="0"/>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64.3382</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水电工程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204.3529</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消防工程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117.2510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暖通工程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47.5552</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4.6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智能化工程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15.0563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室外附属工程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1292.3098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室外道路工程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170.3369</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5.2</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雨污水管网工程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480.1258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5.3</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室外消防工程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241.5048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5.4</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室外给水工程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112.7583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5.5</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室外电力工程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151.2030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室外智能化工程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125.6754</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5.7</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景观路灯工程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10.7057</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6</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Cs w:val="21"/>
              </w:rPr>
            </w:pPr>
            <w:r>
              <w:rPr>
                <w:rFonts w:hint="eastAsia" w:ascii="宋体" w:hAnsi="宋体" w:cs="宋体"/>
                <w:b/>
                <w:bCs/>
                <w:kern w:val="0"/>
                <w:szCs w:val="21"/>
              </w:rPr>
              <w:t>设备工程</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700.0000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Cs w:val="21"/>
              </w:rPr>
            </w:pPr>
            <w:r>
              <w:rPr>
                <w:rFonts w:hint="eastAsia" w:ascii="宋体" w:hAnsi="宋体" w:cs="宋体"/>
                <w:kern w:val="0"/>
                <w:szCs w:val="21"/>
              </w:rPr>
              <w:t>6.1</w:t>
            </w:r>
          </w:p>
        </w:tc>
        <w:tc>
          <w:tcPr>
            <w:tcW w:w="368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Cs w:val="21"/>
              </w:rPr>
            </w:pPr>
            <w:r>
              <w:rPr>
                <w:rFonts w:hint="eastAsia" w:ascii="宋体" w:hAnsi="宋体" w:cs="宋体"/>
                <w:kern w:val="0"/>
                <w:szCs w:val="21"/>
              </w:rPr>
              <w:t>电梯</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200.0000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配电设备</w:t>
            </w:r>
          </w:p>
        </w:tc>
        <w:tc>
          <w:tcPr>
            <w:tcW w:w="2532" w:type="dxa"/>
            <w:tcBorders>
              <w:top w:val="nil"/>
              <w:left w:val="nil"/>
              <w:bottom w:val="single" w:color="000000" w:sz="4" w:space="0"/>
              <w:right w:val="single" w:color="000000" w:sz="4" w:space="0"/>
            </w:tcBorders>
            <w:shd w:val="clear" w:color="FFFFFF" w:fill="FFFFFF"/>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500.0000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第二部分</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工程建设其他费用</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879.0837</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688" w:type="dxa"/>
            <w:tcBorders>
              <w:top w:val="nil"/>
              <w:left w:val="nil"/>
              <w:bottom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建设单位管理费</w:t>
            </w:r>
          </w:p>
        </w:tc>
        <w:tc>
          <w:tcPr>
            <w:tcW w:w="2532" w:type="dxa"/>
            <w:tcBorders>
              <w:top w:val="nil"/>
              <w:left w:val="single" w:color="auto" w:sz="4" w:space="0"/>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44.5500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6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前期工作费（建议书、可研、社会稳定风险评估编制费)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11.0000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勘察、设计费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418.0000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招标代理费（含清单编制费）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34.2478</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监理费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178.1800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施工过程跟踪审计+结算审计</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90.6900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施工图审查费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5.8376</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工程保险费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18.6000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检验试验费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66.3030</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建筑垃圾处理费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11.6753</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第三部分</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预备费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517.0685</w:t>
            </w:r>
          </w:p>
        </w:tc>
      </w:tr>
      <w:tr>
        <w:tblPrEx>
          <w:tblCellMar>
            <w:top w:w="0" w:type="dxa"/>
            <w:left w:w="108" w:type="dxa"/>
            <w:bottom w:w="0" w:type="dxa"/>
            <w:right w:w="108" w:type="dxa"/>
          </w:tblCellMar>
        </w:tblPrEx>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基本预备费</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szCs w:val="21"/>
              </w:rPr>
            </w:pPr>
            <w:r>
              <w:rPr>
                <w:rFonts w:hint="eastAsia" w:asciiTheme="majorEastAsia" w:hAnsiTheme="majorEastAsia" w:eastAsiaTheme="majorEastAsia"/>
                <w:szCs w:val="21"/>
              </w:rPr>
              <w:t>517.0685</w:t>
            </w:r>
          </w:p>
        </w:tc>
      </w:tr>
      <w:tr>
        <w:trPr>
          <w:trHeight w:val="369" w:hRule="atLeast"/>
          <w:jc w:val="center"/>
        </w:trPr>
        <w:tc>
          <w:tcPr>
            <w:tcW w:w="1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第四部分</w:t>
            </w:r>
          </w:p>
        </w:tc>
        <w:tc>
          <w:tcPr>
            <w:tcW w:w="36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项目概算总投资</w:t>
            </w:r>
          </w:p>
        </w:tc>
        <w:tc>
          <w:tcPr>
            <w:tcW w:w="2532" w:type="dxa"/>
            <w:tcBorders>
              <w:top w:val="nil"/>
              <w:left w:val="nil"/>
              <w:bottom w:val="single" w:color="auto" w:sz="4" w:space="0"/>
              <w:right w:val="single" w:color="auto" w:sz="4" w:space="0"/>
            </w:tcBorders>
            <w:shd w:val="clear" w:color="auto" w:fill="auto"/>
            <w:vAlign w:val="center"/>
          </w:tcPr>
          <w:p>
            <w:pPr>
              <w:jc w:val="right"/>
              <w:rPr>
                <w:rFonts w:cs="宋体" w:asciiTheme="majorEastAsia" w:hAnsiTheme="majorEastAsia" w:eastAsiaTheme="majorEastAsia"/>
                <w:b/>
                <w:bCs/>
                <w:szCs w:val="21"/>
              </w:rPr>
            </w:pPr>
            <w:r>
              <w:rPr>
                <w:rFonts w:hint="eastAsia" w:asciiTheme="majorEastAsia" w:hAnsiTheme="majorEastAsia" w:eastAsiaTheme="majorEastAsia"/>
                <w:b/>
                <w:bCs/>
                <w:szCs w:val="21"/>
              </w:rPr>
              <w:t>23497.8929</w:t>
            </w:r>
          </w:p>
        </w:tc>
      </w:tr>
    </w:tbl>
    <w:p>
      <w:pPr>
        <w:rPr>
          <w:rFonts w:hint="eastAsia" w:ascii="Times New Roman" w:hAnsi="Times New Roman" w:eastAsia="仿宋_GB2312"/>
          <w:sz w:val="32"/>
          <w:szCs w:val="32"/>
        </w:rPr>
      </w:pPr>
    </w:p>
    <w:p>
      <w:pPr>
        <w:rPr>
          <w:rFonts w:ascii="Times New Roman" w:hAnsi="Times New Roman" w:eastAsia="仿宋_GB2312"/>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73" w:type="dxa"/>
            <w:tcBorders>
              <w:top w:val="single" w:color="auto" w:sz="8" w:space="0"/>
              <w:left w:val="nil"/>
              <w:bottom w:val="single" w:color="auto" w:sz="4" w:space="0"/>
              <w:right w:val="nil"/>
            </w:tcBorders>
            <w:vAlign w:val="center"/>
          </w:tcPr>
          <w:p>
            <w:pPr>
              <w:spacing w:line="480" w:lineRule="exact"/>
              <w:ind w:left="1121" w:leftChars="134" w:hanging="840" w:hangingChars="300"/>
              <w:rPr>
                <w:rFonts w:ascii="Times New Roman" w:hAnsi="Times New Roman" w:eastAsia="仿宋_GB2312"/>
                <w:sz w:val="28"/>
                <w:szCs w:val="28"/>
              </w:rPr>
            </w:pPr>
            <w:r>
              <w:rPr>
                <w:rFonts w:hint="eastAsia" w:ascii="Times New Roman" w:hAnsi="Times New Roman" w:eastAsia="仿宋_GB2312"/>
                <w:sz w:val="28"/>
                <w:szCs w:val="28"/>
              </w:rPr>
              <w:t>抄送：市教育局、住建局、自然资源局、生态环境局、财政局，</w:t>
            </w:r>
            <w:r>
              <w:rPr>
                <w:rFonts w:ascii="Times New Roman" w:hAnsi="Times New Roman" w:eastAsia="仿宋_GB2312"/>
                <w:sz w:val="28"/>
                <w:szCs w:val="28"/>
              </w:rPr>
              <w:t>市政府工程建设管理中心</w:t>
            </w:r>
            <w:r>
              <w:rPr>
                <w:rFonts w:hint="eastAsia"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73" w:type="dxa"/>
            <w:tcBorders>
              <w:top w:val="single" w:color="auto" w:sz="4" w:space="0"/>
              <w:left w:val="nil"/>
              <w:bottom w:val="single" w:color="auto" w:sz="8" w:space="0"/>
              <w:right w:val="nil"/>
            </w:tcBorders>
            <w:vAlign w:val="center"/>
          </w:tcPr>
          <w:p>
            <w:pPr>
              <w:ind w:firstLine="280" w:firstLineChars="100"/>
              <w:rPr>
                <w:rFonts w:ascii="Times New Roman" w:hAnsi="Times New Roman" w:eastAsia="仿宋_GB2312"/>
                <w:sz w:val="28"/>
                <w:szCs w:val="28"/>
              </w:rPr>
            </w:pPr>
            <w:r>
              <w:rPr>
                <w:rFonts w:hint="eastAsia" w:ascii="Times New Roman" w:hAnsi="Times New Roman" w:eastAsia="仿宋_GB2312"/>
                <w:sz w:val="28"/>
                <w:szCs w:val="28"/>
              </w:rPr>
              <w:t xml:space="preserve">连云港市发展和改革委员会办公室        </w:t>
            </w:r>
            <w:r>
              <w:rPr>
                <w:rFonts w:ascii="Times New Roman" w:hAnsi="Times New Roman" w:eastAsia="仿宋_GB2312"/>
                <w:sz w:val="28"/>
                <w:szCs w:val="28"/>
              </w:rPr>
              <w:t>202</w:t>
            </w:r>
            <w:r>
              <w:rPr>
                <w:rFonts w:hint="eastAsia" w:ascii="Times New Roman" w:hAnsi="Times New Roman" w:eastAsia="仿宋_GB2312"/>
                <w:sz w:val="28"/>
                <w:szCs w:val="28"/>
              </w:rPr>
              <w:t>2年5月</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日印发</w:t>
            </w:r>
          </w:p>
        </w:tc>
      </w:tr>
    </w:tbl>
    <w:p>
      <w:pPr>
        <w:spacing w:line="20" w:lineRule="exact"/>
        <w:rPr>
          <w:rFonts w:ascii="Times New Roman" w:hAnsi="Times New Roman" w:eastAsia="仿宋_GB2312"/>
          <w:sz w:val="32"/>
          <w:szCs w:val="32"/>
        </w:rPr>
      </w:pPr>
    </w:p>
    <w:sectPr>
      <w:footerReference r:id="rId3" w:type="default"/>
      <w:footerReference r:id="rId4" w:type="even"/>
      <w:pgSz w:w="11906" w:h="16838"/>
      <w:pgMar w:top="1588" w:right="1474" w:bottom="1531" w:left="147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C62"/>
    <w:rsid w:val="00001548"/>
    <w:rsid w:val="00001C52"/>
    <w:rsid w:val="000128E0"/>
    <w:rsid w:val="00016E00"/>
    <w:rsid w:val="0003274D"/>
    <w:rsid w:val="00036BA8"/>
    <w:rsid w:val="000568B9"/>
    <w:rsid w:val="00060D84"/>
    <w:rsid w:val="000660DE"/>
    <w:rsid w:val="00067EC7"/>
    <w:rsid w:val="0007299C"/>
    <w:rsid w:val="0007333E"/>
    <w:rsid w:val="00083437"/>
    <w:rsid w:val="00085C4A"/>
    <w:rsid w:val="00085FE1"/>
    <w:rsid w:val="00094B23"/>
    <w:rsid w:val="000A1A4D"/>
    <w:rsid w:val="000A2B91"/>
    <w:rsid w:val="000A4BFC"/>
    <w:rsid w:val="000B3309"/>
    <w:rsid w:val="000C44E2"/>
    <w:rsid w:val="000D0324"/>
    <w:rsid w:val="000D3BDB"/>
    <w:rsid w:val="000D3F2F"/>
    <w:rsid w:val="000E6803"/>
    <w:rsid w:val="000F0805"/>
    <w:rsid w:val="000F5455"/>
    <w:rsid w:val="000F5D23"/>
    <w:rsid w:val="000F78E2"/>
    <w:rsid w:val="001024EF"/>
    <w:rsid w:val="001047FC"/>
    <w:rsid w:val="00105AAC"/>
    <w:rsid w:val="00110634"/>
    <w:rsid w:val="001126EB"/>
    <w:rsid w:val="001130FD"/>
    <w:rsid w:val="0011684E"/>
    <w:rsid w:val="00117E98"/>
    <w:rsid w:val="00122AFF"/>
    <w:rsid w:val="00136CCD"/>
    <w:rsid w:val="001438C6"/>
    <w:rsid w:val="001442BA"/>
    <w:rsid w:val="001575C2"/>
    <w:rsid w:val="00160310"/>
    <w:rsid w:val="001624F5"/>
    <w:rsid w:val="0016589E"/>
    <w:rsid w:val="00167430"/>
    <w:rsid w:val="00167FC8"/>
    <w:rsid w:val="00170924"/>
    <w:rsid w:val="00170AB8"/>
    <w:rsid w:val="00184581"/>
    <w:rsid w:val="00186D13"/>
    <w:rsid w:val="001872DA"/>
    <w:rsid w:val="001A0D39"/>
    <w:rsid w:val="001A30AB"/>
    <w:rsid w:val="001B1DF2"/>
    <w:rsid w:val="001B701F"/>
    <w:rsid w:val="001C0B96"/>
    <w:rsid w:val="001C3728"/>
    <w:rsid w:val="001C4086"/>
    <w:rsid w:val="001C4515"/>
    <w:rsid w:val="001C5476"/>
    <w:rsid w:val="001D1659"/>
    <w:rsid w:val="001D6E60"/>
    <w:rsid w:val="001E4505"/>
    <w:rsid w:val="001F220A"/>
    <w:rsid w:val="00201111"/>
    <w:rsid w:val="00202F28"/>
    <w:rsid w:val="00216BC4"/>
    <w:rsid w:val="00222367"/>
    <w:rsid w:val="002308B8"/>
    <w:rsid w:val="0024320C"/>
    <w:rsid w:val="00244C62"/>
    <w:rsid w:val="002524FC"/>
    <w:rsid w:val="002562A8"/>
    <w:rsid w:val="002677D4"/>
    <w:rsid w:val="002839EB"/>
    <w:rsid w:val="002933DB"/>
    <w:rsid w:val="002A2AFE"/>
    <w:rsid w:val="002A6DD8"/>
    <w:rsid w:val="002B3C9A"/>
    <w:rsid w:val="002B5321"/>
    <w:rsid w:val="002C4593"/>
    <w:rsid w:val="002D0D23"/>
    <w:rsid w:val="002D3506"/>
    <w:rsid w:val="002D5C97"/>
    <w:rsid w:val="002D70F7"/>
    <w:rsid w:val="002E06E3"/>
    <w:rsid w:val="002E6AF1"/>
    <w:rsid w:val="002E6FFD"/>
    <w:rsid w:val="002F4C0C"/>
    <w:rsid w:val="002F6E92"/>
    <w:rsid w:val="003016A7"/>
    <w:rsid w:val="00303642"/>
    <w:rsid w:val="00305AB6"/>
    <w:rsid w:val="00306A2A"/>
    <w:rsid w:val="00306EC7"/>
    <w:rsid w:val="00313037"/>
    <w:rsid w:val="0031471E"/>
    <w:rsid w:val="00321364"/>
    <w:rsid w:val="00330FEC"/>
    <w:rsid w:val="00347362"/>
    <w:rsid w:val="00365428"/>
    <w:rsid w:val="0038047F"/>
    <w:rsid w:val="00381C5C"/>
    <w:rsid w:val="0039155C"/>
    <w:rsid w:val="003928AB"/>
    <w:rsid w:val="003B6972"/>
    <w:rsid w:val="003C7311"/>
    <w:rsid w:val="003D0835"/>
    <w:rsid w:val="00401D7D"/>
    <w:rsid w:val="00414190"/>
    <w:rsid w:val="00421A78"/>
    <w:rsid w:val="00425E54"/>
    <w:rsid w:val="004319E6"/>
    <w:rsid w:val="004413CF"/>
    <w:rsid w:val="00442A96"/>
    <w:rsid w:val="00450FA2"/>
    <w:rsid w:val="00452C8C"/>
    <w:rsid w:val="00463013"/>
    <w:rsid w:val="0046547C"/>
    <w:rsid w:val="004666DD"/>
    <w:rsid w:val="0047226D"/>
    <w:rsid w:val="00472C61"/>
    <w:rsid w:val="00485AE9"/>
    <w:rsid w:val="00487272"/>
    <w:rsid w:val="004926C4"/>
    <w:rsid w:val="00492D92"/>
    <w:rsid w:val="00495516"/>
    <w:rsid w:val="004A335A"/>
    <w:rsid w:val="004B5FCC"/>
    <w:rsid w:val="004C30BC"/>
    <w:rsid w:val="004D05FA"/>
    <w:rsid w:val="004F5AAD"/>
    <w:rsid w:val="00500B40"/>
    <w:rsid w:val="0050485C"/>
    <w:rsid w:val="00504B5A"/>
    <w:rsid w:val="0050699B"/>
    <w:rsid w:val="00512E69"/>
    <w:rsid w:val="005250A5"/>
    <w:rsid w:val="005364CD"/>
    <w:rsid w:val="00540380"/>
    <w:rsid w:val="005439C9"/>
    <w:rsid w:val="00545D37"/>
    <w:rsid w:val="00554582"/>
    <w:rsid w:val="00554963"/>
    <w:rsid w:val="00557FB5"/>
    <w:rsid w:val="00565124"/>
    <w:rsid w:val="00570C64"/>
    <w:rsid w:val="0057441B"/>
    <w:rsid w:val="005752A9"/>
    <w:rsid w:val="005759B4"/>
    <w:rsid w:val="005919C1"/>
    <w:rsid w:val="005921AB"/>
    <w:rsid w:val="005921D1"/>
    <w:rsid w:val="00593FF1"/>
    <w:rsid w:val="005A0603"/>
    <w:rsid w:val="005A1134"/>
    <w:rsid w:val="005A17B5"/>
    <w:rsid w:val="005A69FE"/>
    <w:rsid w:val="005B425C"/>
    <w:rsid w:val="005D5F7F"/>
    <w:rsid w:val="005D60DF"/>
    <w:rsid w:val="005E38B0"/>
    <w:rsid w:val="005E4CC2"/>
    <w:rsid w:val="005F3393"/>
    <w:rsid w:val="005F3EAF"/>
    <w:rsid w:val="005F419B"/>
    <w:rsid w:val="006056F2"/>
    <w:rsid w:val="00614DB3"/>
    <w:rsid w:val="006220B4"/>
    <w:rsid w:val="00645C63"/>
    <w:rsid w:val="00651B3C"/>
    <w:rsid w:val="00653011"/>
    <w:rsid w:val="006549C6"/>
    <w:rsid w:val="00655222"/>
    <w:rsid w:val="00656733"/>
    <w:rsid w:val="00664057"/>
    <w:rsid w:val="00676DA3"/>
    <w:rsid w:val="006864CC"/>
    <w:rsid w:val="006A05DD"/>
    <w:rsid w:val="006A4B6E"/>
    <w:rsid w:val="006A5A81"/>
    <w:rsid w:val="006B1648"/>
    <w:rsid w:val="006B72A2"/>
    <w:rsid w:val="006C4C00"/>
    <w:rsid w:val="0070140E"/>
    <w:rsid w:val="007064F6"/>
    <w:rsid w:val="00711E0F"/>
    <w:rsid w:val="00712302"/>
    <w:rsid w:val="00725482"/>
    <w:rsid w:val="007267F0"/>
    <w:rsid w:val="007275D4"/>
    <w:rsid w:val="0073261B"/>
    <w:rsid w:val="00736F35"/>
    <w:rsid w:val="00742434"/>
    <w:rsid w:val="00744B3E"/>
    <w:rsid w:val="00752662"/>
    <w:rsid w:val="00753367"/>
    <w:rsid w:val="00756228"/>
    <w:rsid w:val="00760656"/>
    <w:rsid w:val="00762A60"/>
    <w:rsid w:val="00762C12"/>
    <w:rsid w:val="007661D4"/>
    <w:rsid w:val="00766FC4"/>
    <w:rsid w:val="007725B9"/>
    <w:rsid w:val="00774415"/>
    <w:rsid w:val="007871EA"/>
    <w:rsid w:val="00790949"/>
    <w:rsid w:val="00793FB4"/>
    <w:rsid w:val="00796DCC"/>
    <w:rsid w:val="007A5B60"/>
    <w:rsid w:val="007B4427"/>
    <w:rsid w:val="007B44E7"/>
    <w:rsid w:val="007C02A5"/>
    <w:rsid w:val="007C4C01"/>
    <w:rsid w:val="007C7D61"/>
    <w:rsid w:val="007D043F"/>
    <w:rsid w:val="007E133D"/>
    <w:rsid w:val="007E6EEB"/>
    <w:rsid w:val="007F5459"/>
    <w:rsid w:val="0080339D"/>
    <w:rsid w:val="008070F9"/>
    <w:rsid w:val="00822930"/>
    <w:rsid w:val="0082419D"/>
    <w:rsid w:val="00825CF6"/>
    <w:rsid w:val="00826DD6"/>
    <w:rsid w:val="0083016A"/>
    <w:rsid w:val="0083099E"/>
    <w:rsid w:val="008404B9"/>
    <w:rsid w:val="00843F99"/>
    <w:rsid w:val="00867DBF"/>
    <w:rsid w:val="00870E2F"/>
    <w:rsid w:val="00873BDB"/>
    <w:rsid w:val="008742E2"/>
    <w:rsid w:val="00877EAD"/>
    <w:rsid w:val="008800A2"/>
    <w:rsid w:val="008829A2"/>
    <w:rsid w:val="00886471"/>
    <w:rsid w:val="00891230"/>
    <w:rsid w:val="008976E3"/>
    <w:rsid w:val="008A58EB"/>
    <w:rsid w:val="008A6A11"/>
    <w:rsid w:val="008A703A"/>
    <w:rsid w:val="008B15C3"/>
    <w:rsid w:val="008B4254"/>
    <w:rsid w:val="008B459D"/>
    <w:rsid w:val="008B4F29"/>
    <w:rsid w:val="008D0934"/>
    <w:rsid w:val="008D49B1"/>
    <w:rsid w:val="008E38E5"/>
    <w:rsid w:val="008E799C"/>
    <w:rsid w:val="008F1AB7"/>
    <w:rsid w:val="008F45A8"/>
    <w:rsid w:val="009079E8"/>
    <w:rsid w:val="00907A4F"/>
    <w:rsid w:val="00913F65"/>
    <w:rsid w:val="0092209A"/>
    <w:rsid w:val="009253B7"/>
    <w:rsid w:val="00932BF3"/>
    <w:rsid w:val="00936AEA"/>
    <w:rsid w:val="00940352"/>
    <w:rsid w:val="00945F93"/>
    <w:rsid w:val="00956936"/>
    <w:rsid w:val="00956952"/>
    <w:rsid w:val="009725F0"/>
    <w:rsid w:val="009738BE"/>
    <w:rsid w:val="00975926"/>
    <w:rsid w:val="00983CB8"/>
    <w:rsid w:val="00986249"/>
    <w:rsid w:val="009953FC"/>
    <w:rsid w:val="009A068F"/>
    <w:rsid w:val="009F4AE6"/>
    <w:rsid w:val="009F66BD"/>
    <w:rsid w:val="009F71E0"/>
    <w:rsid w:val="00A01A51"/>
    <w:rsid w:val="00A069C8"/>
    <w:rsid w:val="00A103C6"/>
    <w:rsid w:val="00A1042E"/>
    <w:rsid w:val="00A17640"/>
    <w:rsid w:val="00A21BA1"/>
    <w:rsid w:val="00A238C9"/>
    <w:rsid w:val="00A26D12"/>
    <w:rsid w:val="00A53A7C"/>
    <w:rsid w:val="00A54C8F"/>
    <w:rsid w:val="00A634C8"/>
    <w:rsid w:val="00A715E4"/>
    <w:rsid w:val="00A81352"/>
    <w:rsid w:val="00A81FEA"/>
    <w:rsid w:val="00A9103A"/>
    <w:rsid w:val="00A97B76"/>
    <w:rsid w:val="00AA0056"/>
    <w:rsid w:val="00AA2AFF"/>
    <w:rsid w:val="00AA39E7"/>
    <w:rsid w:val="00AB2A70"/>
    <w:rsid w:val="00AC584E"/>
    <w:rsid w:val="00AE0702"/>
    <w:rsid w:val="00AE602F"/>
    <w:rsid w:val="00AF24BB"/>
    <w:rsid w:val="00B0205B"/>
    <w:rsid w:val="00B07F7D"/>
    <w:rsid w:val="00B14D6B"/>
    <w:rsid w:val="00B21D8F"/>
    <w:rsid w:val="00B24672"/>
    <w:rsid w:val="00B24913"/>
    <w:rsid w:val="00B318E0"/>
    <w:rsid w:val="00B46927"/>
    <w:rsid w:val="00B47AE6"/>
    <w:rsid w:val="00B527AF"/>
    <w:rsid w:val="00B64780"/>
    <w:rsid w:val="00B64DDF"/>
    <w:rsid w:val="00B7486D"/>
    <w:rsid w:val="00B80477"/>
    <w:rsid w:val="00B80C7D"/>
    <w:rsid w:val="00B84CB1"/>
    <w:rsid w:val="00B90FDF"/>
    <w:rsid w:val="00B938DE"/>
    <w:rsid w:val="00B94EB7"/>
    <w:rsid w:val="00BB3DC8"/>
    <w:rsid w:val="00BB4CD6"/>
    <w:rsid w:val="00BC10FB"/>
    <w:rsid w:val="00BC2C85"/>
    <w:rsid w:val="00BD1AF9"/>
    <w:rsid w:val="00BD4845"/>
    <w:rsid w:val="00BE6C8B"/>
    <w:rsid w:val="00BF763A"/>
    <w:rsid w:val="00C106D7"/>
    <w:rsid w:val="00C31599"/>
    <w:rsid w:val="00C349E8"/>
    <w:rsid w:val="00C37053"/>
    <w:rsid w:val="00C45DD5"/>
    <w:rsid w:val="00C508B7"/>
    <w:rsid w:val="00C529B2"/>
    <w:rsid w:val="00C623D9"/>
    <w:rsid w:val="00C63DF5"/>
    <w:rsid w:val="00C744A2"/>
    <w:rsid w:val="00C77FDF"/>
    <w:rsid w:val="00C81DD2"/>
    <w:rsid w:val="00C90763"/>
    <w:rsid w:val="00C93CEA"/>
    <w:rsid w:val="00C94E7C"/>
    <w:rsid w:val="00C96983"/>
    <w:rsid w:val="00CA007A"/>
    <w:rsid w:val="00CA09D3"/>
    <w:rsid w:val="00CB07C9"/>
    <w:rsid w:val="00CB3084"/>
    <w:rsid w:val="00CB5484"/>
    <w:rsid w:val="00CC0255"/>
    <w:rsid w:val="00CC19AF"/>
    <w:rsid w:val="00CC537A"/>
    <w:rsid w:val="00CC6EC4"/>
    <w:rsid w:val="00CC7664"/>
    <w:rsid w:val="00CE6EA4"/>
    <w:rsid w:val="00CE7E1E"/>
    <w:rsid w:val="00CF4D00"/>
    <w:rsid w:val="00CF6270"/>
    <w:rsid w:val="00D01250"/>
    <w:rsid w:val="00D0638F"/>
    <w:rsid w:val="00D202FA"/>
    <w:rsid w:val="00D228A8"/>
    <w:rsid w:val="00D259E1"/>
    <w:rsid w:val="00D25F33"/>
    <w:rsid w:val="00D314EB"/>
    <w:rsid w:val="00D37034"/>
    <w:rsid w:val="00D549EA"/>
    <w:rsid w:val="00D65688"/>
    <w:rsid w:val="00D66C28"/>
    <w:rsid w:val="00D7109E"/>
    <w:rsid w:val="00D75810"/>
    <w:rsid w:val="00D85097"/>
    <w:rsid w:val="00DA7A37"/>
    <w:rsid w:val="00DB201F"/>
    <w:rsid w:val="00DB7ECB"/>
    <w:rsid w:val="00DD006C"/>
    <w:rsid w:val="00DE3B55"/>
    <w:rsid w:val="00DE3C5B"/>
    <w:rsid w:val="00DE54D4"/>
    <w:rsid w:val="00E04EF1"/>
    <w:rsid w:val="00E13ED2"/>
    <w:rsid w:val="00E15067"/>
    <w:rsid w:val="00E268C5"/>
    <w:rsid w:val="00E31F29"/>
    <w:rsid w:val="00E32C8C"/>
    <w:rsid w:val="00E61FDB"/>
    <w:rsid w:val="00E626FD"/>
    <w:rsid w:val="00E643BB"/>
    <w:rsid w:val="00E70F75"/>
    <w:rsid w:val="00E7393B"/>
    <w:rsid w:val="00E8511E"/>
    <w:rsid w:val="00E94DD2"/>
    <w:rsid w:val="00EA3063"/>
    <w:rsid w:val="00EB12C8"/>
    <w:rsid w:val="00EB332A"/>
    <w:rsid w:val="00EC1204"/>
    <w:rsid w:val="00EC6B42"/>
    <w:rsid w:val="00ED1377"/>
    <w:rsid w:val="00ED14EB"/>
    <w:rsid w:val="00ED222D"/>
    <w:rsid w:val="00ED4822"/>
    <w:rsid w:val="00ED4FF3"/>
    <w:rsid w:val="00ED5396"/>
    <w:rsid w:val="00ED5A11"/>
    <w:rsid w:val="00ED7239"/>
    <w:rsid w:val="00EE093D"/>
    <w:rsid w:val="00EE1491"/>
    <w:rsid w:val="00EE5F8F"/>
    <w:rsid w:val="00EF11FE"/>
    <w:rsid w:val="00EF178E"/>
    <w:rsid w:val="00EF1B91"/>
    <w:rsid w:val="00F01FDC"/>
    <w:rsid w:val="00F075C0"/>
    <w:rsid w:val="00F13FB9"/>
    <w:rsid w:val="00F249B1"/>
    <w:rsid w:val="00F24A7D"/>
    <w:rsid w:val="00F3002F"/>
    <w:rsid w:val="00F32723"/>
    <w:rsid w:val="00F334A6"/>
    <w:rsid w:val="00F3754C"/>
    <w:rsid w:val="00F41C50"/>
    <w:rsid w:val="00F452FB"/>
    <w:rsid w:val="00F46422"/>
    <w:rsid w:val="00F6096D"/>
    <w:rsid w:val="00F71959"/>
    <w:rsid w:val="00FA3DF1"/>
    <w:rsid w:val="00FA443B"/>
    <w:rsid w:val="00FD5049"/>
    <w:rsid w:val="00FE008D"/>
    <w:rsid w:val="00FE00F0"/>
    <w:rsid w:val="00FE36A7"/>
    <w:rsid w:val="00FF0905"/>
    <w:rsid w:val="0562126E"/>
    <w:rsid w:val="3CF10371"/>
    <w:rsid w:val="76C21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C8E13-500C-4FDE-84A3-1C88918ACA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488</Words>
  <Characters>2786</Characters>
  <Lines>23</Lines>
  <Paragraphs>6</Paragraphs>
  <TotalTime>394</TotalTime>
  <ScaleCrop>false</ScaleCrop>
  <LinksUpToDate>false</LinksUpToDate>
  <CharactersWithSpaces>3268</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2022-02-25T03:10:00Z</dcterms:created>
  <dc:creator>Yxl</dc:creator>
  <cp:lastModifiedBy>Administrator</cp:lastModifiedBy>
  <cp:lastPrinted>2018-03-28T02:05:00Z</cp:lastPrinted>
  <dcterms:modified xsi:type="dcterms:W3CDTF">2022-05-11T02:42:45Z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863DE4BD4A9E4445BDA2971BAEF9F403</vt:lpwstr>
  </property>
</Properties>
</file>