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465" w:lineRule="atLeas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附件2     </w:t>
      </w:r>
    </w:p>
    <w:p>
      <w:pPr>
        <w:pStyle w:val="2"/>
        <w:widowControl/>
        <w:shd w:val="clear" w:color="auto" w:fill="FFFFFF"/>
        <w:spacing w:before="0" w:beforeAutospacing="0" w:after="0" w:afterAutospacing="0" w:line="465" w:lineRule="atLeast"/>
        <w:jc w:val="center"/>
        <w:rPr>
          <w:rFonts w:hint="eastAsia" w:ascii="方正大标宋简体" w:hAnsi="方正大标宋简体" w:eastAsia="方正大标宋简体" w:cs="方正大标宋简体"/>
          <w:color w:val="000000"/>
          <w:sz w:val="44"/>
          <w:szCs w:val="44"/>
          <w:shd w:val="clear" w:color="auto" w:fill="FFFFFF"/>
        </w:rPr>
      </w:pPr>
      <w:bookmarkStart w:id="0" w:name="_GoBack"/>
      <w:r>
        <w:rPr>
          <w:rFonts w:hint="eastAsia" w:ascii="方正大标宋简体" w:hAnsi="方正大标宋简体" w:eastAsia="方正大标宋简体" w:cs="方正大标宋简体"/>
          <w:color w:val="000000"/>
          <w:sz w:val="44"/>
          <w:szCs w:val="44"/>
          <w:shd w:val="clear" w:color="auto" w:fill="FFFFFF"/>
        </w:rPr>
        <w:t>连云港市初中</w:t>
      </w:r>
      <w:r>
        <w:rPr>
          <w:rFonts w:hint="eastAsia" w:ascii="方正大标宋简体" w:hAnsi="方正大标宋简体" w:eastAsia="方正大标宋简体" w:cs="方正大标宋简体"/>
          <w:color w:val="000000"/>
          <w:sz w:val="44"/>
          <w:szCs w:val="44"/>
          <w:shd w:val="clear" w:color="auto" w:fill="FFFFFF"/>
          <w:lang w:eastAsia="zh-CN"/>
        </w:rPr>
        <w:t>毕业</w:t>
      </w:r>
      <w:r>
        <w:rPr>
          <w:rFonts w:hint="eastAsia" w:ascii="方正大标宋简体" w:hAnsi="方正大标宋简体" w:eastAsia="方正大标宋简体" w:cs="方正大标宋简体"/>
          <w:color w:val="000000"/>
          <w:sz w:val="44"/>
          <w:szCs w:val="44"/>
          <w:shd w:val="clear" w:color="auto" w:fill="FFFFFF"/>
        </w:rPr>
        <w:t>生艺术素质测评指标体系</w:t>
      </w:r>
    </w:p>
    <w:bookmarkEnd w:id="0"/>
    <w:p>
      <w:pPr>
        <w:pStyle w:val="2"/>
        <w:widowControl/>
        <w:shd w:val="clear" w:color="auto" w:fill="FFFFFF"/>
        <w:spacing w:before="0" w:beforeAutospacing="0" w:after="0" w:afterAutospacing="0" w:line="465" w:lineRule="atLeast"/>
        <w:rPr>
          <w:rFonts w:ascii="仿宋_GB2312" w:hAnsi="Helvetica Neue" w:eastAsia="仿宋_GB2312" w:cs="仿宋_GB2312"/>
          <w:color w:val="000000"/>
          <w:sz w:val="31"/>
          <w:szCs w:val="31"/>
          <w:shd w:val="clear" w:color="auto" w:fill="FFFFFF"/>
        </w:rPr>
      </w:pPr>
    </w:p>
    <w:tbl>
      <w:tblPr>
        <w:tblStyle w:val="4"/>
        <w:tblpPr w:leftFromText="180" w:rightFromText="180" w:vertAnchor="text" w:horzAnchor="page" w:tblpX="2233" w:tblpY="24"/>
        <w:tblOverlap w:val="never"/>
        <w:tblW w:w="7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00"/>
        <w:gridCol w:w="750"/>
        <w:gridCol w:w="374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top"/>
          </w:tcPr>
          <w:p>
            <w:pPr>
              <w:pStyle w:val="2"/>
              <w:widowControl/>
              <w:spacing w:before="0" w:beforeAutospacing="0" w:after="0" w:afterAutospacing="0" w:line="465" w:lineRule="atLeast"/>
              <w:jc w:val="center"/>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一级</w:t>
            </w:r>
          </w:p>
          <w:p>
            <w:pPr>
              <w:pStyle w:val="2"/>
              <w:widowControl/>
              <w:spacing w:before="0" w:beforeAutospacing="0" w:after="0" w:afterAutospacing="0" w:line="465" w:lineRule="atLeast"/>
              <w:jc w:val="center"/>
              <w:rPr>
                <w:rFonts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指标</w:t>
            </w:r>
          </w:p>
        </w:tc>
        <w:tc>
          <w:tcPr>
            <w:tcW w:w="900" w:type="dxa"/>
            <w:vAlign w:val="top"/>
          </w:tcPr>
          <w:p>
            <w:pPr>
              <w:pStyle w:val="2"/>
              <w:widowControl/>
              <w:spacing w:before="0" w:beforeAutospacing="0" w:after="0" w:afterAutospacing="0" w:line="465" w:lineRule="atLeast"/>
              <w:jc w:val="center"/>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二级</w:t>
            </w:r>
          </w:p>
          <w:p>
            <w:pPr>
              <w:pStyle w:val="2"/>
              <w:widowControl/>
              <w:spacing w:before="0" w:beforeAutospacing="0" w:after="0" w:afterAutospacing="0" w:line="465" w:lineRule="atLeast"/>
              <w:jc w:val="center"/>
              <w:rPr>
                <w:rFonts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指标</w:t>
            </w:r>
          </w:p>
        </w:tc>
        <w:tc>
          <w:tcPr>
            <w:tcW w:w="750" w:type="dxa"/>
            <w:vAlign w:val="top"/>
          </w:tcPr>
          <w:p>
            <w:pPr>
              <w:pStyle w:val="2"/>
              <w:widowControl/>
              <w:spacing w:before="0" w:beforeAutospacing="0" w:after="0" w:afterAutospacing="0" w:line="465" w:lineRule="atLeast"/>
              <w:jc w:val="center"/>
              <w:rPr>
                <w:rFonts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分值</w:t>
            </w:r>
          </w:p>
        </w:tc>
        <w:tc>
          <w:tcPr>
            <w:tcW w:w="3740" w:type="dxa"/>
            <w:vAlign w:val="top"/>
          </w:tcPr>
          <w:p>
            <w:pPr>
              <w:pStyle w:val="2"/>
              <w:widowControl/>
              <w:spacing w:before="0" w:beforeAutospacing="0" w:after="0" w:afterAutospacing="0" w:line="465" w:lineRule="atLeast"/>
              <w:jc w:val="center"/>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指标</w:t>
            </w:r>
          </w:p>
          <w:p>
            <w:pPr>
              <w:pStyle w:val="2"/>
              <w:widowControl/>
              <w:spacing w:before="0" w:beforeAutospacing="0" w:after="0" w:afterAutospacing="0" w:line="465" w:lineRule="atLeast"/>
              <w:jc w:val="center"/>
              <w:rPr>
                <w:rFonts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内容</w:t>
            </w:r>
          </w:p>
        </w:tc>
        <w:tc>
          <w:tcPr>
            <w:tcW w:w="1759" w:type="dxa"/>
            <w:vAlign w:val="top"/>
          </w:tcPr>
          <w:p>
            <w:pPr>
              <w:pStyle w:val="2"/>
              <w:widowControl/>
              <w:spacing w:before="0" w:beforeAutospacing="0" w:after="0" w:afterAutospacing="0" w:line="465" w:lineRule="atLeast"/>
              <w:jc w:val="center"/>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评价</w:t>
            </w:r>
          </w:p>
          <w:p>
            <w:pPr>
              <w:pStyle w:val="2"/>
              <w:widowControl/>
              <w:spacing w:before="0" w:beforeAutospacing="0" w:after="0" w:afterAutospacing="0" w:line="465" w:lineRule="atLeast"/>
              <w:jc w:val="center"/>
              <w:rPr>
                <w:rFonts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restart"/>
            <w:textDirection w:val="tbRlV"/>
            <w:vAlign w:val="top"/>
          </w:tcPr>
          <w:p>
            <w:pPr>
              <w:pStyle w:val="2"/>
              <w:widowControl/>
              <w:spacing w:before="0" w:beforeAutospacing="0" w:after="0" w:afterAutospacing="0"/>
              <w:ind w:left="113" w:right="113"/>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基础指标</w:t>
            </w:r>
          </w:p>
        </w:tc>
        <w:tc>
          <w:tcPr>
            <w:tcW w:w="90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课程</w:t>
            </w: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学习</w:t>
            </w:r>
          </w:p>
        </w:tc>
        <w:tc>
          <w:tcPr>
            <w:tcW w:w="75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30</w:t>
            </w:r>
          </w:p>
        </w:tc>
        <w:tc>
          <w:tcPr>
            <w:tcW w:w="374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音乐、美术等艺术课程学习的出勤率、参与度和学习任务完成情况。检验音乐、美术等艺术课程标准要求的基本知识和基本技能的理解和掌握情况。</w:t>
            </w:r>
          </w:p>
        </w:tc>
        <w:tc>
          <w:tcPr>
            <w:tcW w:w="1759" w:type="dxa"/>
            <w:vMerge w:val="restart"/>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在县区教育局指导下，由考生所在学校组织实施。各学校细化各项指标的评分标准，并上报县区教育局审核。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40" w:type="dxa"/>
            <w:vMerge w:val="continue"/>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tc>
        <w:tc>
          <w:tcPr>
            <w:tcW w:w="90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课外</w:t>
            </w: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活动</w:t>
            </w:r>
          </w:p>
        </w:tc>
        <w:tc>
          <w:tcPr>
            <w:tcW w:w="75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15</w:t>
            </w:r>
          </w:p>
        </w:tc>
        <w:tc>
          <w:tcPr>
            <w:tcW w:w="374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参加学校组织的艺术兴趣小组、艺术社团和各类艺术实践活动的态度及表现</w:t>
            </w:r>
            <w:r>
              <w:rPr>
                <w:rFonts w:hint="eastAsia" w:ascii="仿宋_GB2312" w:hAnsi="Helvetica Neue" w:eastAsia="仿宋_GB2312" w:cs="仿宋_GB2312"/>
                <w:color w:val="000000"/>
                <w:sz w:val="21"/>
                <w:szCs w:val="21"/>
                <w:shd w:val="clear" w:color="auto" w:fill="FFFFFF"/>
                <w:lang w:eastAsia="zh-CN"/>
              </w:rPr>
              <w:t>。</w:t>
            </w:r>
          </w:p>
        </w:tc>
        <w:tc>
          <w:tcPr>
            <w:tcW w:w="1759" w:type="dxa"/>
            <w:vMerge w:val="continue"/>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840" w:type="dxa"/>
            <w:vMerge w:val="restart"/>
            <w:textDirection w:val="tbRlV"/>
            <w:vAlign w:val="top"/>
          </w:tcPr>
          <w:p>
            <w:pPr>
              <w:pStyle w:val="2"/>
              <w:widowControl/>
              <w:spacing w:before="0" w:beforeAutospacing="0" w:after="0" w:afterAutospacing="0"/>
              <w:ind w:left="113" w:right="113"/>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发展指标</w:t>
            </w:r>
          </w:p>
        </w:tc>
        <w:tc>
          <w:tcPr>
            <w:tcW w:w="90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校外</w:t>
            </w: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学习</w:t>
            </w:r>
          </w:p>
        </w:tc>
        <w:tc>
          <w:tcPr>
            <w:tcW w:w="75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5</w:t>
            </w:r>
          </w:p>
        </w:tc>
        <w:tc>
          <w:tcPr>
            <w:tcW w:w="374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自主参加校外艺术学习、参与艺术实践的情况（主要指参与社区、乡村艺术活动、学习优秀的</w:t>
            </w:r>
            <w:r>
              <w:rPr>
                <w:rFonts w:hint="eastAsia" w:ascii="仿宋_GB2312" w:hAnsi="Helvetica Neue" w:eastAsia="仿宋_GB2312" w:cs="仿宋_GB2312"/>
                <w:color w:val="000000"/>
                <w:sz w:val="21"/>
                <w:szCs w:val="21"/>
                <w:shd w:val="clear" w:color="auto" w:fill="FFFFFF"/>
                <w:lang w:eastAsia="zh-CN"/>
              </w:rPr>
              <w:t>民族</w:t>
            </w:r>
            <w:r>
              <w:rPr>
                <w:rFonts w:hint="eastAsia" w:ascii="仿宋_GB2312" w:hAnsi="Helvetica Neue" w:eastAsia="仿宋_GB2312" w:cs="仿宋_GB2312"/>
                <w:color w:val="000000"/>
                <w:sz w:val="21"/>
                <w:szCs w:val="21"/>
                <w:shd w:val="clear" w:color="auto" w:fill="FFFFFF"/>
              </w:rPr>
              <w:t>民间艺术、欣赏高雅的文艺演出和展览等）。</w:t>
            </w:r>
          </w:p>
        </w:tc>
        <w:tc>
          <w:tcPr>
            <w:tcW w:w="1759" w:type="dxa"/>
            <w:vMerge w:val="continue"/>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tc>
        <w:tc>
          <w:tcPr>
            <w:tcW w:w="90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艺术</w:t>
            </w: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特长</w:t>
            </w: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（加分项目）</w:t>
            </w:r>
          </w:p>
        </w:tc>
        <w:tc>
          <w:tcPr>
            <w:tcW w:w="75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10</w:t>
            </w:r>
          </w:p>
        </w:tc>
        <w:tc>
          <w:tcPr>
            <w:tcW w:w="374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学生初中阶段参加各级教育行政部门组织的艺术活动情况可以作为艺术特长测评加分依据。按照国家、省、市、县区教育行政部门组织的艺术展演和比赛中获奖的</w:t>
            </w:r>
            <w:r>
              <w:rPr>
                <w:rFonts w:hint="eastAsia" w:ascii="仿宋_GB2312" w:hAnsi="Helvetica Neue" w:eastAsia="仿宋_GB2312" w:cs="仿宋_GB2312"/>
                <w:color w:val="000000"/>
                <w:sz w:val="21"/>
                <w:szCs w:val="21"/>
                <w:shd w:val="clear" w:color="auto" w:fill="FFFFFF"/>
                <w:lang w:eastAsia="zh-CN"/>
              </w:rPr>
              <w:t>。</w:t>
            </w:r>
            <w:r>
              <w:rPr>
                <w:rFonts w:hint="eastAsia" w:ascii="仿宋_GB2312" w:hAnsi="Helvetica Neue" w:eastAsia="仿宋_GB2312" w:cs="仿宋_GB2312"/>
                <w:color w:val="000000"/>
                <w:sz w:val="21"/>
                <w:szCs w:val="21"/>
                <w:shd w:val="clear" w:color="auto" w:fill="FFFFFF"/>
                <w:lang w:val="en-US" w:eastAsia="zh-CN"/>
              </w:rPr>
              <w:t>加分</w:t>
            </w:r>
            <w:r>
              <w:rPr>
                <w:rFonts w:hint="eastAsia" w:ascii="仿宋_GB2312" w:hAnsi="Helvetica Neue" w:eastAsia="仿宋_GB2312" w:cs="仿宋_GB2312"/>
                <w:color w:val="000000"/>
                <w:sz w:val="21"/>
                <w:szCs w:val="21"/>
                <w:shd w:val="clear" w:color="auto" w:fill="FFFFFF"/>
              </w:rPr>
              <w:t>量化标准参照《连云港市初中毕业生艺术素质测评特长加分量化表》（见附件</w:t>
            </w:r>
            <w:r>
              <w:rPr>
                <w:rFonts w:hint="eastAsia" w:ascii="仿宋_GB2312" w:hAnsi="Helvetica Neue" w:eastAsia="仿宋_GB2312" w:cs="仿宋_GB2312"/>
                <w:color w:val="000000"/>
                <w:sz w:val="21"/>
                <w:szCs w:val="21"/>
                <w:shd w:val="clear" w:color="auto" w:fill="FFFFFF"/>
                <w:lang w:val="en-US" w:eastAsia="zh-CN"/>
              </w:rPr>
              <w:t>3</w:t>
            </w:r>
            <w:r>
              <w:rPr>
                <w:rFonts w:hint="eastAsia" w:ascii="仿宋_GB2312" w:hAnsi="Helvetica Neue" w:eastAsia="仿宋_GB2312" w:cs="仿宋_GB2312"/>
                <w:color w:val="000000"/>
                <w:sz w:val="21"/>
                <w:szCs w:val="21"/>
                <w:shd w:val="clear" w:color="auto" w:fill="FFFFFF"/>
              </w:rPr>
              <w:t>）。</w:t>
            </w:r>
          </w:p>
        </w:tc>
        <w:tc>
          <w:tcPr>
            <w:tcW w:w="1759" w:type="dxa"/>
            <w:vMerge w:val="continue"/>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40" w:type="dxa"/>
            <w:vMerge w:val="restart"/>
            <w:textDirection w:val="tbRlV"/>
            <w:vAlign w:val="top"/>
          </w:tcPr>
          <w:p>
            <w:pPr>
              <w:pStyle w:val="2"/>
              <w:widowControl/>
              <w:spacing w:before="0" w:beforeAutospacing="0" w:after="0" w:afterAutospacing="0"/>
              <w:ind w:left="113" w:right="113"/>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学业指标</w:t>
            </w:r>
          </w:p>
        </w:tc>
        <w:tc>
          <w:tcPr>
            <w:tcW w:w="90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基础</w:t>
            </w: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知识</w:t>
            </w:r>
          </w:p>
        </w:tc>
        <w:tc>
          <w:tcPr>
            <w:tcW w:w="75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25</w:t>
            </w:r>
          </w:p>
        </w:tc>
        <w:tc>
          <w:tcPr>
            <w:tcW w:w="374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理解和掌握音乐、美术等艺术课程标准要求的基础知识情况。</w:t>
            </w:r>
          </w:p>
        </w:tc>
        <w:tc>
          <w:tcPr>
            <w:tcW w:w="1759" w:type="dxa"/>
            <w:vMerge w:val="restart"/>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市教育局统一出题，采用人机对话的形式，县区教育局组织考试。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840" w:type="dxa"/>
            <w:vMerge w:val="continue"/>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tc>
        <w:tc>
          <w:tcPr>
            <w:tcW w:w="90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基本</w:t>
            </w: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技能</w:t>
            </w:r>
          </w:p>
        </w:tc>
        <w:tc>
          <w:tcPr>
            <w:tcW w:w="750" w:type="dxa"/>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25</w:t>
            </w:r>
          </w:p>
        </w:tc>
        <w:tc>
          <w:tcPr>
            <w:tcW w:w="3740" w:type="dxa"/>
            <w:vAlign w:val="top"/>
          </w:tcPr>
          <w:p>
            <w:pPr>
              <w:pStyle w:val="2"/>
              <w:widowControl/>
              <w:spacing w:before="0" w:beforeAutospacing="0" w:after="0" w:afterAutospacing="0"/>
              <w:rPr>
                <w:rFonts w:hint="eastAsia" w:ascii="仿宋_GB2312" w:hAnsi="Helvetica Neue" w:eastAsia="仿宋_GB2312" w:cs="仿宋_GB2312"/>
                <w:color w:val="000000"/>
                <w:sz w:val="21"/>
                <w:szCs w:val="21"/>
                <w:shd w:val="clear" w:color="auto" w:fill="FFFFFF"/>
              </w:rPr>
            </w:pPr>
            <w:r>
              <w:rPr>
                <w:rFonts w:hint="eastAsia" w:ascii="仿宋_GB2312" w:hAnsi="Helvetica Neue" w:eastAsia="仿宋_GB2312" w:cs="仿宋_GB2312"/>
                <w:color w:val="000000"/>
                <w:sz w:val="21"/>
                <w:szCs w:val="21"/>
                <w:shd w:val="clear" w:color="auto" w:fill="FFFFFF"/>
              </w:rPr>
              <w:t>掌握和运用音乐、美术等艺术课程标准要求的基本技能的情况。</w:t>
            </w:r>
          </w:p>
        </w:tc>
        <w:tc>
          <w:tcPr>
            <w:tcW w:w="1759" w:type="dxa"/>
            <w:vMerge w:val="continue"/>
            <w:vAlign w:val="top"/>
          </w:tcPr>
          <w:p>
            <w:pPr>
              <w:pStyle w:val="2"/>
              <w:widowControl/>
              <w:spacing w:before="0" w:beforeAutospacing="0" w:after="0" w:afterAutospacing="0"/>
              <w:jc w:val="center"/>
              <w:rPr>
                <w:rFonts w:hint="eastAsia" w:ascii="仿宋_GB2312" w:hAnsi="Helvetica Neue" w:eastAsia="仿宋_GB2312" w:cs="仿宋_GB2312"/>
                <w:color w:val="000000"/>
                <w:sz w:val="21"/>
                <w:szCs w:val="21"/>
                <w:shd w:val="clear" w:color="auto" w:fill="FFFFFF"/>
              </w:rPr>
            </w:pPr>
          </w:p>
        </w:tc>
      </w:tr>
    </w:tbl>
    <w:p>
      <w:pPr>
        <w:pStyle w:val="2"/>
        <w:widowControl/>
        <w:shd w:val="clear" w:color="auto" w:fill="FFFFFF"/>
        <w:spacing w:before="0" w:beforeAutospacing="0" w:after="0" w:afterAutospacing="0" w:line="465" w:lineRule="atLeast"/>
        <w:rPr>
          <w:rFonts w:ascii="仿宋_GB2312" w:hAnsi="Helvetica Neue" w:eastAsia="仿宋_GB2312" w:cs="仿宋_GB2312"/>
          <w:color w:val="000000"/>
          <w:sz w:val="31"/>
          <w:szCs w:val="31"/>
          <w:shd w:val="clear" w:color="auto" w:fill="FFFFFF"/>
        </w:rPr>
      </w:pPr>
    </w:p>
    <w:p>
      <w:pPr>
        <w:pStyle w:val="2"/>
        <w:widowControl/>
        <w:shd w:val="clear" w:color="auto" w:fill="FFFFFF"/>
        <w:spacing w:before="0" w:beforeAutospacing="0" w:after="0" w:afterAutospacing="0" w:line="465" w:lineRule="atLeast"/>
        <w:rPr>
          <w:rFonts w:ascii="仿宋_GB2312" w:hAnsi="Helvetica Neue" w:eastAsia="仿宋_GB2312" w:cs="仿宋_GB2312"/>
          <w:color w:val="000000"/>
          <w:sz w:val="31"/>
          <w:szCs w:val="31"/>
          <w:shd w:val="clear" w:color="auto" w:fill="FFFFFF"/>
        </w:rPr>
      </w:pPr>
    </w:p>
    <w:p>
      <w:pPr>
        <w:pStyle w:val="2"/>
        <w:widowControl/>
        <w:shd w:val="clear" w:color="auto" w:fill="FFFFFF"/>
        <w:spacing w:before="0" w:beforeAutospacing="0" w:after="0" w:afterAutospacing="0" w:line="465" w:lineRule="atLeast"/>
        <w:rPr>
          <w:rFonts w:ascii="仿宋_GB2312" w:hAnsi="Helvetica Neue" w:eastAsia="仿宋_GB2312" w:cs="仿宋_GB2312"/>
          <w:color w:val="000000"/>
          <w:sz w:val="31"/>
          <w:szCs w:val="31"/>
          <w:shd w:val="clear" w:color="auto" w:fill="FFFFFF"/>
        </w:rPr>
      </w:pPr>
    </w:p>
    <w:p/>
    <w:sectPr>
      <w:pgSz w:w="11906" w:h="16838"/>
      <w:pgMar w:top="198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Neue">
    <w:altName w:val="Courier New"/>
    <w:panose1 w:val="00000000000000000000"/>
    <w:charset w:val="00"/>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F706F"/>
    <w:rsid w:val="423F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2017-08-14T09:51:00Z</dcterms:created>
  <dc:creator>Administrator</dc:creator>
  <cp:lastModifiedBy>Administrator</cp:lastModifiedBy>
  <dcterms:modified xsi:type="dcterms:W3CDTF">2017-08-14T09:51:27Z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