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4B05" w:rsidRDefault="00B74B05" w:rsidP="009262F8">
      <w:pPr>
        <w:widowControl/>
        <w:shd w:val="clear" w:color="auto" w:fill="FFFFFF"/>
        <w:spacing w:before="100" w:beforeAutospacing="1" w:after="100" w:afterAutospacing="1" w:line="560" w:lineRule="exact"/>
        <w:jc w:val="center"/>
        <w:rPr>
          <w:rFonts w:ascii="Times New Roman" w:eastAsia="方正小标宋简体" w:hAnsi="宋体" w:cs="宋体"/>
          <w:bCs/>
          <w:color w:val="000000"/>
          <w:kern w:val="0"/>
          <w:sz w:val="44"/>
          <w:szCs w:val="44"/>
        </w:rPr>
      </w:pPr>
      <w:r w:rsidRPr="00B74B05">
        <w:rPr>
          <w:rFonts w:ascii="宋体" w:eastAsia="方正小标宋简体" w:hAnsi="宋体" w:cs="宋体"/>
          <w:bCs/>
          <w:color w:val="000000"/>
          <w:kern w:val="0"/>
          <w:sz w:val="44"/>
          <w:szCs w:val="44"/>
        </w:rPr>
        <w:t>201</w:t>
      </w:r>
      <w:r>
        <w:rPr>
          <w:rFonts w:ascii="宋体" w:eastAsia="方正小标宋简体" w:hAnsi="宋体" w:cs="宋体" w:hint="eastAsia"/>
          <w:bCs/>
          <w:color w:val="000000"/>
          <w:kern w:val="0"/>
          <w:sz w:val="44"/>
          <w:szCs w:val="44"/>
        </w:rPr>
        <w:t>6</w:t>
      </w:r>
      <w:r w:rsidRPr="00B74B05">
        <w:rPr>
          <w:rFonts w:ascii="Times New Roman" w:eastAsia="方正小标宋简体" w:hAnsi="宋体" w:cs="宋体" w:hint="eastAsia"/>
          <w:bCs/>
          <w:color w:val="000000"/>
          <w:kern w:val="0"/>
          <w:sz w:val="44"/>
          <w:szCs w:val="44"/>
        </w:rPr>
        <w:t>年连云港市国民经济和社会发展</w:t>
      </w:r>
    </w:p>
    <w:p w:rsidR="00B74B05" w:rsidRPr="00B74B05" w:rsidRDefault="00B74B05" w:rsidP="009262F8">
      <w:pPr>
        <w:widowControl/>
        <w:shd w:val="clear" w:color="auto" w:fill="FFFFFF"/>
        <w:spacing w:before="100" w:beforeAutospacing="1" w:after="100" w:afterAutospacing="1" w:line="560" w:lineRule="exact"/>
        <w:jc w:val="center"/>
        <w:rPr>
          <w:rFonts w:ascii="宋体" w:eastAsia="宋体" w:hAnsi="宋体" w:cs="宋体"/>
          <w:color w:val="353535"/>
          <w:kern w:val="0"/>
          <w:sz w:val="24"/>
          <w:szCs w:val="24"/>
        </w:rPr>
      </w:pPr>
      <w:r w:rsidRPr="00B74B05">
        <w:rPr>
          <w:rFonts w:ascii="Times New Roman" w:eastAsia="方正小标宋简体" w:hAnsi="宋体" w:cs="宋体" w:hint="eastAsia"/>
          <w:bCs/>
          <w:color w:val="000000"/>
          <w:kern w:val="0"/>
          <w:sz w:val="44"/>
          <w:szCs w:val="44"/>
        </w:rPr>
        <w:t>统计公报</w:t>
      </w:r>
    </w:p>
    <w:p w:rsidR="00B74B05" w:rsidRDefault="00B74B05" w:rsidP="009262F8">
      <w:pPr>
        <w:widowControl/>
        <w:shd w:val="clear" w:color="auto" w:fill="FFFFFF"/>
        <w:spacing w:before="100" w:beforeAutospacing="1" w:after="100" w:afterAutospacing="1" w:line="560" w:lineRule="exact"/>
        <w:jc w:val="center"/>
        <w:rPr>
          <w:rFonts w:ascii="宋体" w:eastAsia="仿宋_GB2312" w:hAnsi="宋体" w:cs="宋体"/>
          <w:color w:val="000000"/>
          <w:kern w:val="0"/>
          <w:sz w:val="32"/>
          <w:szCs w:val="32"/>
        </w:rPr>
      </w:pPr>
      <w:r>
        <w:rPr>
          <w:rFonts w:ascii="宋体" w:eastAsia="仿宋_GB2312" w:hAnsi="宋体" w:cs="宋体" w:hint="eastAsia"/>
          <w:color w:val="000000"/>
          <w:kern w:val="0"/>
          <w:sz w:val="32"/>
          <w:szCs w:val="32"/>
        </w:rPr>
        <w:t>连云港市统计局</w:t>
      </w:r>
      <w:r>
        <w:rPr>
          <w:rFonts w:ascii="宋体" w:eastAsia="仿宋_GB2312" w:hAnsi="宋体" w:cs="宋体" w:hint="eastAsia"/>
          <w:color w:val="000000"/>
          <w:kern w:val="0"/>
          <w:sz w:val="32"/>
          <w:szCs w:val="32"/>
        </w:rPr>
        <w:t xml:space="preserve">  </w:t>
      </w:r>
      <w:r>
        <w:rPr>
          <w:rFonts w:ascii="宋体" w:eastAsia="仿宋_GB2312" w:hAnsi="宋体" w:cs="宋体" w:hint="eastAsia"/>
          <w:color w:val="000000"/>
          <w:kern w:val="0"/>
          <w:sz w:val="32"/>
          <w:szCs w:val="32"/>
        </w:rPr>
        <w:t>国家统计局连云港调查队</w:t>
      </w:r>
    </w:p>
    <w:p w:rsidR="00B74B05" w:rsidRPr="00C86179" w:rsidRDefault="00B74B05" w:rsidP="009262F8">
      <w:pPr>
        <w:widowControl/>
        <w:shd w:val="clear" w:color="auto" w:fill="FFFFFF"/>
        <w:spacing w:before="100" w:beforeAutospacing="1" w:after="100" w:afterAutospacing="1" w:line="560" w:lineRule="exact"/>
        <w:ind w:firstLineChars="200" w:firstLine="640"/>
        <w:rPr>
          <w:rFonts w:ascii="仿宋_GB2312" w:eastAsia="仿宋_GB2312" w:hAnsi="宋体" w:cs="宋体"/>
          <w:color w:val="353535"/>
          <w:kern w:val="0"/>
          <w:sz w:val="24"/>
          <w:szCs w:val="24"/>
        </w:rPr>
      </w:pPr>
      <w:r w:rsidRPr="00C86179">
        <w:rPr>
          <w:rFonts w:ascii="仿宋_GB2312" w:eastAsia="仿宋_GB2312" w:hAnsi="宋体" w:cs="宋体" w:hint="eastAsia"/>
          <w:color w:val="000000"/>
          <w:kern w:val="0"/>
          <w:sz w:val="32"/>
          <w:szCs w:val="32"/>
        </w:rPr>
        <w:t>2016年，</w:t>
      </w:r>
      <w:r w:rsidRPr="00C86179">
        <w:rPr>
          <w:rFonts w:ascii="仿宋_GB2312" w:eastAsia="仿宋_GB2312" w:hint="eastAsia"/>
          <w:color w:val="000000"/>
          <w:sz w:val="32"/>
          <w:szCs w:val="32"/>
        </w:rPr>
        <w:t>连云港紧紧抓住国家“一带一路”建设、沿海发展等重大战略机遇，牢固树立和贯彻落实创新、协调、绿色、开放、共享五大发展理念，以改革创新为引领，以扩大开放求突破，坚持稳中求进主基调，着力加快转型升级，</w:t>
      </w:r>
      <w:r w:rsidRPr="00C86179">
        <w:rPr>
          <w:rFonts w:ascii="仿宋_GB2312" w:eastAsia="仿宋_GB2312" w:hAnsi="宋体" w:cs="宋体" w:hint="eastAsia"/>
          <w:color w:val="000000"/>
          <w:kern w:val="0"/>
          <w:sz w:val="32"/>
          <w:szCs w:val="32"/>
        </w:rPr>
        <w:t>全市经济运行稳中有进，综合实力日益增强，产业发展、城乡面貌、人民生活发生显著变化。</w:t>
      </w:r>
    </w:p>
    <w:p w:rsidR="00B74B05" w:rsidRPr="00B74B05" w:rsidRDefault="00B74B05" w:rsidP="009262F8">
      <w:pPr>
        <w:widowControl/>
        <w:shd w:val="clear" w:color="auto" w:fill="FFFFFF"/>
        <w:spacing w:before="100" w:beforeAutospacing="1" w:after="100" w:afterAutospacing="1" w:line="560" w:lineRule="exact"/>
        <w:ind w:firstLineChars="200" w:firstLine="640"/>
        <w:rPr>
          <w:rFonts w:ascii="宋体" w:eastAsia="宋体" w:hAnsi="宋体" w:cs="宋体"/>
          <w:color w:val="353535"/>
          <w:kern w:val="0"/>
          <w:sz w:val="24"/>
          <w:szCs w:val="24"/>
        </w:rPr>
      </w:pPr>
      <w:r w:rsidRPr="00B74B05">
        <w:rPr>
          <w:rFonts w:ascii="Times New Roman" w:eastAsia="黑体" w:hAnsi="黑体" w:cs="宋体" w:hint="eastAsia"/>
          <w:color w:val="000000"/>
          <w:kern w:val="0"/>
          <w:sz w:val="32"/>
          <w:szCs w:val="32"/>
        </w:rPr>
        <w:t>一、综</w:t>
      </w:r>
      <w:r w:rsidRPr="00B74B05">
        <w:rPr>
          <w:rFonts w:ascii="宋体" w:eastAsia="黑体" w:hAnsi="宋体" w:cs="宋体"/>
          <w:color w:val="000000"/>
          <w:kern w:val="0"/>
          <w:sz w:val="32"/>
          <w:szCs w:val="32"/>
        </w:rPr>
        <w:t xml:space="preserve"> </w:t>
      </w:r>
      <w:r w:rsidRPr="00B74B05">
        <w:rPr>
          <w:rFonts w:ascii="Times New Roman" w:eastAsia="黑体" w:hAnsi="黑体" w:cs="宋体" w:hint="eastAsia"/>
          <w:color w:val="000000"/>
          <w:kern w:val="0"/>
          <w:sz w:val="32"/>
          <w:szCs w:val="32"/>
        </w:rPr>
        <w:t>合</w:t>
      </w:r>
    </w:p>
    <w:p w:rsidR="00B74B05" w:rsidRDefault="00B74B05" w:rsidP="009262F8">
      <w:pPr>
        <w:spacing w:line="560" w:lineRule="exact"/>
        <w:ind w:firstLineChars="200" w:firstLine="640"/>
        <w:rPr>
          <w:rFonts w:ascii="仿宋_GB2312" w:eastAsia="仿宋_GB2312"/>
          <w:sz w:val="32"/>
          <w:szCs w:val="32"/>
        </w:rPr>
      </w:pPr>
      <w:r w:rsidRPr="00B74B05">
        <w:rPr>
          <w:rFonts w:ascii="楷体" w:eastAsia="楷体" w:hAnsi="楷体" w:hint="eastAsia"/>
          <w:sz w:val="32"/>
          <w:szCs w:val="32"/>
        </w:rPr>
        <w:t>经济总量不断扩大。</w:t>
      </w:r>
      <w:r w:rsidR="008401F7">
        <w:rPr>
          <w:rFonts w:ascii="仿宋_GB2312" w:eastAsia="仿宋_GB2312" w:hint="eastAsia"/>
          <w:sz w:val="32"/>
          <w:szCs w:val="32"/>
        </w:rPr>
        <w:t>全</w:t>
      </w:r>
      <w:r>
        <w:rPr>
          <w:rFonts w:ascii="仿宋_GB2312" w:eastAsia="仿宋_GB2312" w:hint="eastAsia"/>
          <w:sz w:val="32"/>
          <w:szCs w:val="32"/>
        </w:rPr>
        <w:t>年</w:t>
      </w:r>
      <w:r w:rsidRPr="00634929">
        <w:rPr>
          <w:rFonts w:ascii="仿宋_GB2312" w:eastAsia="仿宋_GB2312" w:hint="eastAsia"/>
          <w:sz w:val="32"/>
          <w:szCs w:val="32"/>
        </w:rPr>
        <w:t>实现GDP 2</w:t>
      </w:r>
      <w:r w:rsidR="001B0B82">
        <w:rPr>
          <w:rFonts w:ascii="仿宋_GB2312" w:eastAsia="仿宋_GB2312"/>
          <w:sz w:val="32"/>
          <w:szCs w:val="32"/>
        </w:rPr>
        <w:t>405.16</w:t>
      </w:r>
      <w:r w:rsidRPr="00634929">
        <w:rPr>
          <w:rFonts w:ascii="仿宋_GB2312" w:eastAsia="仿宋_GB2312" w:hint="eastAsia"/>
          <w:sz w:val="32"/>
          <w:szCs w:val="32"/>
        </w:rPr>
        <w:t>亿元,</w:t>
      </w:r>
      <w:r w:rsidRPr="00315CF4">
        <w:rPr>
          <w:rFonts w:ascii="仿宋_GB2312" w:eastAsia="仿宋_GB2312" w:hint="eastAsia"/>
          <w:sz w:val="32"/>
          <w:szCs w:val="32"/>
        </w:rPr>
        <w:t xml:space="preserve"> </w:t>
      </w:r>
      <w:r w:rsidRPr="00634929">
        <w:rPr>
          <w:rFonts w:ascii="仿宋_GB2312" w:eastAsia="仿宋_GB2312" w:hint="eastAsia"/>
          <w:sz w:val="32"/>
          <w:szCs w:val="32"/>
        </w:rPr>
        <w:t>增长7.8%。</w:t>
      </w:r>
      <w:r>
        <w:rPr>
          <w:rFonts w:ascii="仿宋_GB2312" w:eastAsia="仿宋_GB2312" w:hint="eastAsia"/>
          <w:sz w:val="32"/>
          <w:szCs w:val="32"/>
        </w:rPr>
        <w:t>其中，第一产业增加值301.56亿元，增长1.6%；第二产业增加值10</w:t>
      </w:r>
      <w:r w:rsidR="001B0B82">
        <w:rPr>
          <w:rFonts w:ascii="仿宋_GB2312" w:eastAsia="仿宋_GB2312"/>
          <w:sz w:val="32"/>
          <w:szCs w:val="32"/>
        </w:rPr>
        <w:t>74.19</w:t>
      </w:r>
      <w:r>
        <w:rPr>
          <w:rFonts w:ascii="仿宋_GB2312" w:eastAsia="仿宋_GB2312" w:hint="eastAsia"/>
          <w:sz w:val="32"/>
          <w:szCs w:val="32"/>
        </w:rPr>
        <w:t>亿元，增长7.8%；第三产业增加值10</w:t>
      </w:r>
      <w:r w:rsidR="001B0B82">
        <w:rPr>
          <w:rFonts w:ascii="仿宋_GB2312" w:eastAsia="仿宋_GB2312"/>
          <w:sz w:val="32"/>
          <w:szCs w:val="32"/>
        </w:rPr>
        <w:t>29.41</w:t>
      </w:r>
      <w:r>
        <w:rPr>
          <w:rFonts w:ascii="仿宋_GB2312" w:eastAsia="仿宋_GB2312" w:hint="eastAsia"/>
          <w:sz w:val="32"/>
          <w:szCs w:val="32"/>
        </w:rPr>
        <w:t>亿元，增长9.8%。第二、第三产业增加值双双跨上千亿台阶。</w:t>
      </w:r>
      <w:r w:rsidRPr="00634929">
        <w:rPr>
          <w:rFonts w:ascii="仿宋_GB2312" w:eastAsia="仿宋_GB2312" w:hint="eastAsia"/>
          <w:sz w:val="32"/>
          <w:szCs w:val="32"/>
        </w:rPr>
        <w:t>人均GDP</w:t>
      </w:r>
      <w:r>
        <w:rPr>
          <w:rFonts w:ascii="仿宋_GB2312" w:eastAsia="仿宋_GB2312" w:hint="eastAsia"/>
          <w:sz w:val="32"/>
          <w:szCs w:val="32"/>
        </w:rPr>
        <w:t>首超50000元，达到</w:t>
      </w:r>
      <w:r w:rsidRPr="00634929">
        <w:rPr>
          <w:rFonts w:ascii="仿宋_GB2312" w:eastAsia="仿宋_GB2312" w:hint="eastAsia"/>
          <w:sz w:val="32"/>
          <w:szCs w:val="32"/>
        </w:rPr>
        <w:t>5</w:t>
      </w:r>
      <w:r w:rsidR="001B0B82">
        <w:rPr>
          <w:rFonts w:ascii="仿宋_GB2312" w:eastAsia="仿宋_GB2312"/>
          <w:sz w:val="32"/>
          <w:szCs w:val="32"/>
        </w:rPr>
        <w:t>3626</w:t>
      </w:r>
      <w:r w:rsidRPr="00634929">
        <w:rPr>
          <w:rFonts w:ascii="仿宋_GB2312" w:eastAsia="仿宋_GB2312" w:hint="eastAsia"/>
          <w:sz w:val="32"/>
          <w:szCs w:val="32"/>
        </w:rPr>
        <w:t>元。</w:t>
      </w:r>
    </w:p>
    <w:p w:rsidR="00BD75F6" w:rsidRPr="00634929" w:rsidRDefault="00BD75F6" w:rsidP="009262F8">
      <w:pPr>
        <w:jc w:val="center"/>
        <w:rPr>
          <w:rFonts w:ascii="仿宋_GB2312" w:eastAsia="仿宋_GB2312"/>
          <w:sz w:val="32"/>
          <w:szCs w:val="32"/>
        </w:rPr>
      </w:pPr>
      <w:r w:rsidRPr="00BD75F6">
        <w:rPr>
          <w:rFonts w:ascii="仿宋_GB2312" w:eastAsia="仿宋_GB2312"/>
          <w:noProof/>
          <w:sz w:val="32"/>
          <w:szCs w:val="32"/>
        </w:rPr>
        <w:lastRenderedPageBreak/>
        <w:drawing>
          <wp:inline distT="0" distB="0" distL="0" distR="0">
            <wp:extent cx="4914900" cy="2933700"/>
            <wp:effectExtent l="0" t="0" r="0" b="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A948A1" w:rsidRDefault="00B74B05" w:rsidP="00A948A1">
      <w:pPr>
        <w:widowControl/>
        <w:shd w:val="clear" w:color="auto" w:fill="FFFFFF"/>
        <w:spacing w:before="100" w:beforeAutospacing="1" w:after="100" w:afterAutospacing="1" w:line="560" w:lineRule="exact"/>
        <w:ind w:firstLineChars="200" w:firstLine="640"/>
        <w:rPr>
          <w:rFonts w:ascii="仿宋_GB2312" w:eastAsia="仿宋_GB2312"/>
          <w:sz w:val="32"/>
          <w:szCs w:val="32"/>
        </w:rPr>
      </w:pPr>
      <w:r w:rsidRPr="008401F7">
        <w:rPr>
          <w:rFonts w:ascii="楷体" w:eastAsia="楷体" w:hAnsi="楷体" w:hint="eastAsia"/>
          <w:sz w:val="32"/>
          <w:szCs w:val="32"/>
        </w:rPr>
        <w:t>产业结构逐步调优调高。</w:t>
      </w:r>
      <w:r w:rsidRPr="00634929">
        <w:rPr>
          <w:rFonts w:ascii="仿宋_GB2312" w:eastAsia="仿宋_GB2312" w:hint="eastAsia"/>
          <w:sz w:val="32"/>
          <w:szCs w:val="32"/>
        </w:rPr>
        <w:t>全市三次产业结构</w:t>
      </w:r>
      <w:r w:rsidR="008401F7">
        <w:rPr>
          <w:rFonts w:ascii="仿宋_GB2312" w:eastAsia="仿宋_GB2312" w:hint="eastAsia"/>
          <w:sz w:val="32"/>
          <w:szCs w:val="32"/>
        </w:rPr>
        <w:t>调整</w:t>
      </w:r>
      <w:r w:rsidRPr="00634929">
        <w:rPr>
          <w:rFonts w:ascii="仿宋_GB2312" w:eastAsia="仿宋_GB2312" w:hint="eastAsia"/>
          <w:sz w:val="32"/>
          <w:szCs w:val="32"/>
        </w:rPr>
        <w:t>为12.</w:t>
      </w:r>
      <w:r w:rsidR="001B0B82">
        <w:rPr>
          <w:rFonts w:ascii="仿宋_GB2312" w:eastAsia="仿宋_GB2312"/>
          <w:sz w:val="32"/>
          <w:szCs w:val="32"/>
        </w:rPr>
        <w:t>5</w:t>
      </w:r>
      <w:r w:rsidRPr="00634929">
        <w:rPr>
          <w:rFonts w:ascii="仿宋_GB2312" w:eastAsia="仿宋_GB2312" w:hint="eastAsia"/>
          <w:sz w:val="32"/>
          <w:szCs w:val="32"/>
        </w:rPr>
        <w:t>:44.</w:t>
      </w:r>
      <w:r w:rsidR="001B0B82">
        <w:rPr>
          <w:rFonts w:ascii="仿宋_GB2312" w:eastAsia="仿宋_GB2312"/>
          <w:sz w:val="32"/>
          <w:szCs w:val="32"/>
        </w:rPr>
        <w:t>7</w:t>
      </w:r>
      <w:r w:rsidRPr="00634929">
        <w:rPr>
          <w:rFonts w:ascii="仿宋_GB2312" w:eastAsia="仿宋_GB2312" w:hint="eastAsia"/>
          <w:sz w:val="32"/>
          <w:szCs w:val="32"/>
        </w:rPr>
        <w:t>:4</w:t>
      </w:r>
      <w:r w:rsidR="001B0B82">
        <w:rPr>
          <w:rFonts w:ascii="仿宋_GB2312" w:eastAsia="仿宋_GB2312"/>
          <w:sz w:val="32"/>
          <w:szCs w:val="32"/>
        </w:rPr>
        <w:t>2.8</w:t>
      </w:r>
      <w:r>
        <w:rPr>
          <w:rFonts w:ascii="仿宋_GB2312" w:eastAsia="仿宋_GB2312" w:hint="eastAsia"/>
          <w:sz w:val="32"/>
          <w:szCs w:val="32"/>
        </w:rPr>
        <w:t>。</w:t>
      </w:r>
      <w:r w:rsidRPr="00AF1F10">
        <w:rPr>
          <w:rFonts w:ascii="仿宋_GB2312" w:eastAsia="仿宋_GB2312" w:hint="eastAsia"/>
          <w:sz w:val="32"/>
          <w:szCs w:val="32"/>
        </w:rPr>
        <w:t>工业化进程</w:t>
      </w:r>
      <w:r w:rsidRPr="00C61713">
        <w:rPr>
          <w:rFonts w:ascii="仿宋_GB2312" w:eastAsia="仿宋_GB2312" w:hint="eastAsia"/>
          <w:sz w:val="32"/>
          <w:szCs w:val="32"/>
        </w:rPr>
        <w:t>逐步</w:t>
      </w:r>
      <w:r w:rsidRPr="00AF1F10">
        <w:rPr>
          <w:rFonts w:ascii="仿宋_GB2312" w:eastAsia="仿宋_GB2312" w:hint="eastAsia"/>
          <w:sz w:val="32"/>
          <w:szCs w:val="32"/>
        </w:rPr>
        <w:t>提高</w:t>
      </w:r>
      <w:r>
        <w:rPr>
          <w:rFonts w:ascii="仿宋_GB2312" w:eastAsia="仿宋_GB2312"/>
          <w:sz w:val="32"/>
          <w:szCs w:val="32"/>
        </w:rPr>
        <w:t>，工业在全市经济中的主体地位</w:t>
      </w:r>
      <w:r>
        <w:rPr>
          <w:rFonts w:ascii="仿宋_GB2312" w:eastAsia="仿宋_GB2312" w:hint="eastAsia"/>
          <w:sz w:val="32"/>
          <w:szCs w:val="32"/>
        </w:rPr>
        <w:t>逐</w:t>
      </w:r>
      <w:r w:rsidRPr="00C61713">
        <w:rPr>
          <w:rFonts w:ascii="仿宋_GB2312" w:eastAsia="仿宋_GB2312"/>
          <w:sz w:val="32"/>
          <w:szCs w:val="32"/>
        </w:rPr>
        <w:t>步提升</w:t>
      </w:r>
      <w:r w:rsidRPr="00C61713">
        <w:rPr>
          <w:rFonts w:ascii="仿宋_GB2312" w:eastAsia="仿宋_GB2312" w:hint="eastAsia"/>
          <w:sz w:val="32"/>
          <w:szCs w:val="32"/>
        </w:rPr>
        <w:t>，工业化率</w:t>
      </w:r>
      <w:r w:rsidR="00840AB3">
        <w:rPr>
          <w:rFonts w:ascii="仿宋_GB2312" w:eastAsia="仿宋_GB2312" w:hint="eastAsia"/>
          <w:sz w:val="32"/>
          <w:szCs w:val="32"/>
        </w:rPr>
        <w:t>为</w:t>
      </w:r>
      <w:r>
        <w:rPr>
          <w:rFonts w:ascii="仿宋_GB2312" w:eastAsia="仿宋_GB2312" w:hint="eastAsia"/>
          <w:sz w:val="32"/>
          <w:szCs w:val="32"/>
        </w:rPr>
        <w:t>3</w:t>
      </w:r>
      <w:r w:rsidR="001B0B82">
        <w:rPr>
          <w:rFonts w:ascii="仿宋_GB2312" w:eastAsia="仿宋_GB2312"/>
          <w:sz w:val="32"/>
          <w:szCs w:val="32"/>
        </w:rPr>
        <w:t>6.4</w:t>
      </w:r>
      <w:r w:rsidRPr="00C61713">
        <w:rPr>
          <w:rFonts w:ascii="仿宋_GB2312" w:eastAsia="仿宋_GB2312"/>
          <w:sz w:val="32"/>
          <w:szCs w:val="32"/>
        </w:rPr>
        <w:t>%</w:t>
      </w:r>
      <w:r>
        <w:rPr>
          <w:rFonts w:ascii="仿宋_GB2312" w:eastAsia="仿宋_GB2312" w:hint="eastAsia"/>
          <w:sz w:val="32"/>
          <w:szCs w:val="32"/>
        </w:rPr>
        <w:t>，比上年提高了0.</w:t>
      </w:r>
      <w:r w:rsidR="001B0B82">
        <w:rPr>
          <w:rFonts w:ascii="仿宋_GB2312" w:eastAsia="仿宋_GB2312"/>
          <w:sz w:val="32"/>
          <w:szCs w:val="32"/>
        </w:rPr>
        <w:t>2</w:t>
      </w:r>
      <w:r>
        <w:rPr>
          <w:rFonts w:ascii="仿宋_GB2312" w:eastAsia="仿宋_GB2312" w:hint="eastAsia"/>
          <w:sz w:val="32"/>
          <w:szCs w:val="32"/>
        </w:rPr>
        <w:t>个百分点。服务业快速发展。第三</w:t>
      </w:r>
      <w:r w:rsidR="00840AB3">
        <w:rPr>
          <w:rFonts w:ascii="仿宋_GB2312" w:eastAsia="仿宋_GB2312" w:hint="eastAsia"/>
          <w:sz w:val="32"/>
          <w:szCs w:val="32"/>
        </w:rPr>
        <w:t>产业</w:t>
      </w:r>
      <w:r w:rsidRPr="00634929">
        <w:rPr>
          <w:rFonts w:ascii="仿宋_GB2312" w:eastAsia="仿宋_GB2312" w:hint="eastAsia"/>
          <w:sz w:val="32"/>
          <w:szCs w:val="32"/>
        </w:rPr>
        <w:t>增加值占GDP的比重</w:t>
      </w:r>
      <w:r>
        <w:rPr>
          <w:rFonts w:ascii="仿宋_GB2312" w:eastAsia="仿宋_GB2312" w:hint="eastAsia"/>
          <w:sz w:val="32"/>
          <w:szCs w:val="32"/>
        </w:rPr>
        <w:t>达4</w:t>
      </w:r>
      <w:r w:rsidR="001B0B82">
        <w:rPr>
          <w:rFonts w:ascii="仿宋_GB2312" w:eastAsia="仿宋_GB2312"/>
          <w:sz w:val="32"/>
          <w:szCs w:val="32"/>
        </w:rPr>
        <w:t>2.8</w:t>
      </w:r>
      <w:r>
        <w:rPr>
          <w:rFonts w:ascii="仿宋_GB2312" w:eastAsia="仿宋_GB2312" w:hint="eastAsia"/>
          <w:sz w:val="32"/>
          <w:szCs w:val="32"/>
        </w:rPr>
        <w:t>%，比上年提高0.</w:t>
      </w:r>
      <w:r w:rsidR="001B0B82">
        <w:rPr>
          <w:rFonts w:ascii="仿宋_GB2312" w:eastAsia="仿宋_GB2312"/>
          <w:sz w:val="32"/>
          <w:szCs w:val="32"/>
        </w:rPr>
        <w:t>3</w:t>
      </w:r>
      <w:r>
        <w:rPr>
          <w:rFonts w:ascii="仿宋_GB2312" w:eastAsia="仿宋_GB2312" w:hint="eastAsia"/>
          <w:sz w:val="32"/>
          <w:szCs w:val="32"/>
        </w:rPr>
        <w:t>个百分点。</w:t>
      </w:r>
      <w:bookmarkStart w:id="0" w:name="_GoBack"/>
      <w:bookmarkEnd w:id="0"/>
    </w:p>
    <w:p w:rsidR="00A948A1" w:rsidRPr="00191C98" w:rsidRDefault="00A948A1" w:rsidP="00A948A1">
      <w:pPr>
        <w:widowControl/>
        <w:shd w:val="clear" w:color="auto" w:fill="FFFFFF"/>
        <w:spacing w:before="100" w:beforeAutospacing="1" w:after="100" w:afterAutospacing="1" w:line="560" w:lineRule="exact"/>
        <w:ind w:firstLineChars="200" w:firstLine="640"/>
        <w:rPr>
          <w:rFonts w:ascii="仿宋_GB2312" w:eastAsia="仿宋_GB2312"/>
          <w:sz w:val="32"/>
          <w:szCs w:val="32"/>
        </w:rPr>
      </w:pPr>
      <w:r w:rsidRPr="00191C98">
        <w:rPr>
          <w:rFonts w:ascii="楷体" w:eastAsia="楷体" w:hAnsi="楷体" w:hint="eastAsia"/>
          <w:sz w:val="32"/>
          <w:szCs w:val="32"/>
        </w:rPr>
        <w:t>就业</w:t>
      </w:r>
      <w:r w:rsidR="00191C98">
        <w:rPr>
          <w:rFonts w:ascii="楷体" w:eastAsia="楷体" w:hAnsi="楷体" w:hint="eastAsia"/>
          <w:sz w:val="32"/>
          <w:szCs w:val="32"/>
        </w:rPr>
        <w:t>形势保持平稳</w:t>
      </w:r>
      <w:r w:rsidRPr="00191C98">
        <w:rPr>
          <w:rFonts w:ascii="楷体" w:eastAsia="楷体" w:hAnsi="楷体" w:hint="eastAsia"/>
          <w:sz w:val="32"/>
          <w:szCs w:val="32"/>
        </w:rPr>
        <w:t>。</w:t>
      </w:r>
      <w:r w:rsidR="00191C98" w:rsidRPr="00191C98">
        <w:rPr>
          <w:rFonts w:ascii="仿宋_GB2312" w:eastAsia="仿宋_GB2312" w:hint="eastAsia"/>
          <w:sz w:val="32"/>
          <w:szCs w:val="32"/>
        </w:rPr>
        <w:t>全</w:t>
      </w:r>
      <w:r w:rsidR="00191C98">
        <w:rPr>
          <w:rFonts w:ascii="仿宋_GB2312" w:eastAsia="仿宋_GB2312" w:hint="eastAsia"/>
          <w:sz w:val="32"/>
          <w:szCs w:val="32"/>
        </w:rPr>
        <w:t>年</w:t>
      </w:r>
      <w:r w:rsidR="00CE7DB5" w:rsidRPr="00191C98">
        <w:rPr>
          <w:rFonts w:ascii="仿宋_GB2312" w:eastAsia="仿宋_GB2312" w:hint="eastAsia"/>
          <w:sz w:val="32"/>
          <w:szCs w:val="32"/>
        </w:rPr>
        <w:t>新增</w:t>
      </w:r>
      <w:r w:rsidR="00191C98" w:rsidRPr="00191C98">
        <w:rPr>
          <w:rFonts w:ascii="仿宋_GB2312" w:eastAsia="仿宋_GB2312" w:hint="eastAsia"/>
          <w:sz w:val="32"/>
          <w:szCs w:val="32"/>
        </w:rPr>
        <w:t>城镇就业5.4万人，城镇登记失业率1.95%</w:t>
      </w:r>
      <w:r w:rsidR="00191C98">
        <w:rPr>
          <w:rFonts w:ascii="仿宋_GB2312" w:eastAsia="仿宋_GB2312" w:hint="eastAsia"/>
          <w:sz w:val="32"/>
          <w:szCs w:val="32"/>
        </w:rPr>
        <w:t>。</w:t>
      </w:r>
      <w:r w:rsidR="00191C98" w:rsidRPr="00191C98">
        <w:rPr>
          <w:rFonts w:ascii="仿宋_GB2312" w:eastAsia="仿宋_GB2312" w:hint="eastAsia"/>
          <w:sz w:val="32"/>
          <w:szCs w:val="32"/>
        </w:rPr>
        <w:t>年末高校毕业生整体就业率稳定在92%以上，转移农村劳动力2.65万人，帮扶就业困难人员再就业0.53万人，开发公益性岗位2000个，“双零”家庭实现动态清零。</w:t>
      </w:r>
      <w:r w:rsidR="00CE7DB5" w:rsidRPr="00191C98">
        <w:rPr>
          <w:rFonts w:ascii="仿宋_GB2312" w:eastAsia="仿宋_GB2312" w:hint="eastAsia"/>
          <w:sz w:val="32"/>
          <w:szCs w:val="32"/>
        </w:rPr>
        <w:t>在100家规模以上企业建立劳动争议调解委员会，完善87个乡镇劳动人事争议专业性调解组织。</w:t>
      </w:r>
    </w:p>
    <w:p w:rsidR="007F3727" w:rsidRPr="00B45786" w:rsidRDefault="007F3727" w:rsidP="007F3727">
      <w:pPr>
        <w:pStyle w:val="1"/>
        <w:spacing w:line="560" w:lineRule="exact"/>
        <w:ind w:firstLineChars="200" w:firstLine="640"/>
        <w:rPr>
          <w:rFonts w:ascii="仿宋_GB2312" w:eastAsia="仿宋_GB2312" w:hAnsiTheme="minorHAnsi" w:cstheme="minorBidi"/>
          <w:sz w:val="32"/>
          <w:szCs w:val="32"/>
        </w:rPr>
      </w:pPr>
      <w:r w:rsidRPr="00B45786">
        <w:rPr>
          <w:rFonts w:ascii="楷体" w:eastAsia="楷体" w:hAnsi="楷体" w:cstheme="minorBidi" w:hint="eastAsia"/>
          <w:sz w:val="32"/>
          <w:szCs w:val="32"/>
        </w:rPr>
        <w:t>市场活力进一步释放。</w:t>
      </w:r>
      <w:r w:rsidR="00191C98" w:rsidRPr="00B45786">
        <w:rPr>
          <w:rFonts w:ascii="仿宋_GB2312" w:eastAsia="仿宋_GB2312" w:hAnsiTheme="minorHAnsi" w:cstheme="minorBidi" w:hint="eastAsia"/>
          <w:sz w:val="32"/>
          <w:szCs w:val="32"/>
        </w:rPr>
        <w:t>随着互联网、开源技术平台等对大众创业者的开放普及，众筹、众包、众创的融资模式和生产方式使得个体能够成为产业资源的组织配置者，去中心化的自组织生产开始出现，智力资源、产业资源、社会资本更</w:t>
      </w:r>
      <w:r w:rsidR="00191C98" w:rsidRPr="00B45786">
        <w:rPr>
          <w:rFonts w:ascii="仿宋_GB2312" w:eastAsia="仿宋_GB2312" w:hAnsiTheme="minorHAnsi" w:cstheme="minorBidi" w:hint="eastAsia"/>
          <w:sz w:val="32"/>
          <w:szCs w:val="32"/>
        </w:rPr>
        <w:lastRenderedPageBreak/>
        <w:t>加自由流动，市场</w:t>
      </w:r>
      <w:r w:rsidR="00CE7DB5">
        <w:rPr>
          <w:rFonts w:ascii="仿宋_GB2312" w:eastAsia="仿宋_GB2312" w:hAnsiTheme="minorHAnsi" w:cstheme="minorBidi" w:hint="eastAsia"/>
          <w:sz w:val="32"/>
          <w:szCs w:val="32"/>
        </w:rPr>
        <w:t>活力</w:t>
      </w:r>
      <w:r w:rsidR="00191C98" w:rsidRPr="00B45786">
        <w:rPr>
          <w:rFonts w:ascii="仿宋_GB2312" w:eastAsia="仿宋_GB2312" w:hAnsiTheme="minorHAnsi" w:cstheme="minorBidi" w:hint="eastAsia"/>
          <w:sz w:val="32"/>
          <w:szCs w:val="32"/>
        </w:rPr>
        <w:t>进一步释放。</w:t>
      </w:r>
      <w:r w:rsidRPr="00B45786">
        <w:rPr>
          <w:rFonts w:ascii="仿宋_GB2312" w:eastAsia="仿宋_GB2312" w:hAnsiTheme="minorHAnsi" w:cstheme="minorBidi" w:hint="eastAsia"/>
          <w:sz w:val="32"/>
          <w:szCs w:val="32"/>
        </w:rPr>
        <w:t>全年新增私营企业</w:t>
      </w:r>
      <w:r w:rsidR="00B45786" w:rsidRPr="00B45786">
        <w:rPr>
          <w:rFonts w:ascii="仿宋_GB2312" w:eastAsia="仿宋_GB2312" w:hAnsiTheme="minorHAnsi" w:cstheme="minorBidi" w:hint="eastAsia"/>
          <w:sz w:val="32"/>
          <w:szCs w:val="32"/>
        </w:rPr>
        <w:t>1.01</w:t>
      </w:r>
      <w:r w:rsidRPr="00B45786">
        <w:rPr>
          <w:rFonts w:ascii="仿宋_GB2312" w:eastAsia="仿宋_GB2312" w:hAnsiTheme="minorHAnsi" w:cstheme="minorBidi" w:hint="eastAsia"/>
          <w:sz w:val="32"/>
          <w:szCs w:val="32"/>
        </w:rPr>
        <w:t>万户，增长</w:t>
      </w:r>
      <w:r w:rsidR="00B45786" w:rsidRPr="00B45786">
        <w:rPr>
          <w:rFonts w:ascii="仿宋_GB2312" w:eastAsia="仿宋_GB2312" w:hAnsiTheme="minorHAnsi" w:cstheme="minorBidi" w:hint="eastAsia"/>
          <w:sz w:val="32"/>
          <w:szCs w:val="32"/>
        </w:rPr>
        <w:t>17.5</w:t>
      </w:r>
      <w:r w:rsidRPr="00B45786">
        <w:rPr>
          <w:rFonts w:ascii="仿宋_GB2312" w:eastAsia="仿宋_GB2312" w:hAnsiTheme="minorHAnsi" w:cstheme="minorBidi" w:hint="eastAsia"/>
          <w:sz w:val="32"/>
          <w:szCs w:val="32"/>
        </w:rPr>
        <w:t>%</w:t>
      </w:r>
      <w:r w:rsidR="00B45786" w:rsidRPr="00B45786">
        <w:rPr>
          <w:rFonts w:ascii="仿宋_GB2312" w:eastAsia="仿宋_GB2312" w:hAnsiTheme="minorHAnsi" w:cstheme="minorBidi" w:hint="eastAsia"/>
          <w:sz w:val="32"/>
          <w:szCs w:val="32"/>
        </w:rPr>
        <w:t>，年末全市注册私营企业达到</w:t>
      </w:r>
      <w:r w:rsidR="00B45786" w:rsidRPr="00B45786">
        <w:rPr>
          <w:rFonts w:ascii="仿宋_GB2312" w:eastAsia="仿宋_GB2312" w:hAnsiTheme="minorHAnsi" w:cstheme="minorBidi"/>
          <w:sz w:val="32"/>
          <w:szCs w:val="32"/>
        </w:rPr>
        <w:t>6.77</w:t>
      </w:r>
      <w:r w:rsidR="00B45786" w:rsidRPr="00B45786">
        <w:rPr>
          <w:rFonts w:ascii="仿宋_GB2312" w:eastAsia="仿宋_GB2312" w:hAnsiTheme="minorHAnsi" w:cstheme="minorBidi" w:hint="eastAsia"/>
          <w:sz w:val="32"/>
          <w:szCs w:val="32"/>
        </w:rPr>
        <w:t>万户</w:t>
      </w:r>
      <w:r w:rsidRPr="00B45786">
        <w:rPr>
          <w:rFonts w:ascii="仿宋_GB2312" w:eastAsia="仿宋_GB2312" w:hAnsiTheme="minorHAnsi" w:cstheme="minorBidi" w:hint="eastAsia"/>
          <w:sz w:val="32"/>
          <w:szCs w:val="32"/>
        </w:rPr>
        <w:t>；新增个体工商户</w:t>
      </w:r>
      <w:r w:rsidR="00B45786" w:rsidRPr="00B45786">
        <w:rPr>
          <w:rFonts w:ascii="仿宋_GB2312" w:eastAsia="仿宋_GB2312" w:hAnsiTheme="minorHAnsi" w:cstheme="minorBidi" w:hint="eastAsia"/>
          <w:sz w:val="32"/>
          <w:szCs w:val="32"/>
        </w:rPr>
        <w:t>3.62</w:t>
      </w:r>
      <w:r w:rsidRPr="00B45786">
        <w:rPr>
          <w:rFonts w:ascii="仿宋_GB2312" w:eastAsia="仿宋_GB2312" w:hAnsiTheme="minorHAnsi" w:cstheme="minorBidi" w:hint="eastAsia"/>
          <w:sz w:val="32"/>
          <w:szCs w:val="32"/>
        </w:rPr>
        <w:t>万户，增长</w:t>
      </w:r>
      <w:r w:rsidR="00B45786" w:rsidRPr="00B45786">
        <w:rPr>
          <w:rFonts w:ascii="仿宋_GB2312" w:eastAsia="仿宋_GB2312" w:hAnsiTheme="minorHAnsi" w:cstheme="minorBidi" w:hint="eastAsia"/>
          <w:sz w:val="32"/>
          <w:szCs w:val="32"/>
        </w:rPr>
        <w:t>24.0</w:t>
      </w:r>
      <w:r w:rsidRPr="00B45786">
        <w:rPr>
          <w:rFonts w:ascii="仿宋_GB2312" w:eastAsia="仿宋_GB2312" w:hAnsiTheme="minorHAnsi" w:cstheme="minorBidi" w:hint="eastAsia"/>
          <w:sz w:val="32"/>
          <w:szCs w:val="32"/>
        </w:rPr>
        <w:t>%</w:t>
      </w:r>
      <w:r w:rsidR="00B45786" w:rsidRPr="00B45786">
        <w:rPr>
          <w:rFonts w:ascii="仿宋_GB2312" w:eastAsia="仿宋_GB2312" w:hAnsiTheme="minorHAnsi" w:cstheme="minorBidi" w:hint="eastAsia"/>
          <w:sz w:val="32"/>
          <w:szCs w:val="32"/>
        </w:rPr>
        <w:t>，年末</w:t>
      </w:r>
      <w:r w:rsidR="00B45786" w:rsidRPr="00B45786">
        <w:rPr>
          <w:rFonts w:ascii="仿宋_GB2312" w:eastAsia="仿宋_GB2312" w:hAnsiTheme="minorHAnsi" w:cstheme="minorBidi"/>
          <w:sz w:val="32"/>
          <w:szCs w:val="32"/>
        </w:rPr>
        <w:t>全市个体工商户达到18.69万户</w:t>
      </w:r>
      <w:r w:rsidRPr="00B45786">
        <w:rPr>
          <w:rFonts w:ascii="仿宋_GB2312" w:eastAsia="仿宋_GB2312" w:hAnsiTheme="minorHAnsi" w:cstheme="minorBidi" w:hint="eastAsia"/>
          <w:sz w:val="32"/>
          <w:szCs w:val="32"/>
        </w:rPr>
        <w:t>。</w:t>
      </w:r>
    </w:p>
    <w:p w:rsidR="00C86179" w:rsidRPr="00DB3304" w:rsidRDefault="00C86179" w:rsidP="00DB3304">
      <w:pPr>
        <w:widowControl/>
        <w:shd w:val="clear" w:color="auto" w:fill="FFFFFF"/>
        <w:spacing w:before="100" w:beforeAutospacing="1" w:after="100" w:afterAutospacing="1" w:line="560" w:lineRule="exact"/>
        <w:ind w:firstLineChars="200" w:firstLine="640"/>
        <w:rPr>
          <w:rFonts w:ascii="仿宋_GB2312" w:eastAsia="仿宋_GB2312"/>
          <w:sz w:val="32"/>
          <w:szCs w:val="32"/>
        </w:rPr>
      </w:pPr>
      <w:r w:rsidRPr="00B45786">
        <w:rPr>
          <w:rFonts w:ascii="楷体" w:eastAsia="楷体" w:hAnsi="楷体" w:hint="eastAsia"/>
          <w:sz w:val="32"/>
          <w:szCs w:val="32"/>
        </w:rPr>
        <w:t>物价</w:t>
      </w:r>
      <w:r w:rsidR="003C1EC1">
        <w:rPr>
          <w:rFonts w:ascii="楷体" w:eastAsia="楷体" w:hAnsi="楷体" w:hint="eastAsia"/>
          <w:sz w:val="32"/>
          <w:szCs w:val="32"/>
        </w:rPr>
        <w:t>温和</w:t>
      </w:r>
      <w:r w:rsidRPr="00B45786">
        <w:rPr>
          <w:rFonts w:ascii="楷体" w:eastAsia="楷体" w:hAnsi="楷体" w:hint="eastAsia"/>
          <w:sz w:val="32"/>
          <w:szCs w:val="32"/>
        </w:rPr>
        <w:t>上涨。</w:t>
      </w:r>
      <w:r w:rsidR="00FD0E93" w:rsidRPr="00B45786">
        <w:rPr>
          <w:rFonts w:ascii="仿宋_GB2312" w:eastAsia="仿宋_GB2312" w:hint="eastAsia"/>
          <w:sz w:val="32"/>
          <w:szCs w:val="32"/>
        </w:rPr>
        <w:t>全年居民消费价格</w:t>
      </w:r>
      <w:r w:rsidR="003C1EC1">
        <w:rPr>
          <w:rFonts w:ascii="仿宋_GB2312" w:eastAsia="仿宋_GB2312" w:hint="eastAsia"/>
          <w:sz w:val="32"/>
          <w:szCs w:val="32"/>
        </w:rPr>
        <w:t>上涨</w:t>
      </w:r>
      <w:r w:rsidR="00FD0E93" w:rsidRPr="00B45786">
        <w:rPr>
          <w:rFonts w:ascii="仿宋_GB2312" w:eastAsia="仿宋_GB2312" w:hint="eastAsia"/>
          <w:sz w:val="32"/>
          <w:szCs w:val="32"/>
        </w:rPr>
        <w:t>2.1%，</w:t>
      </w:r>
      <w:r w:rsidRPr="00B45786">
        <w:rPr>
          <w:rFonts w:ascii="仿宋_GB2312" w:eastAsia="仿宋_GB2312" w:hint="eastAsia"/>
          <w:sz w:val="32"/>
          <w:szCs w:val="32"/>
        </w:rPr>
        <w:t>八大类商品和服务项目价格指数</w:t>
      </w:r>
      <w:r w:rsidR="003C1EC1">
        <w:rPr>
          <w:rFonts w:ascii="仿宋_GB2312" w:eastAsia="仿宋_GB2312" w:hint="eastAsia"/>
          <w:sz w:val="32"/>
          <w:szCs w:val="32"/>
        </w:rPr>
        <w:t>均有所</w:t>
      </w:r>
      <w:r w:rsidRPr="00B45786">
        <w:rPr>
          <w:rFonts w:ascii="仿宋_GB2312" w:eastAsia="仿宋_GB2312" w:hint="eastAsia"/>
          <w:sz w:val="32"/>
          <w:szCs w:val="32"/>
        </w:rPr>
        <w:t>上涨。</w:t>
      </w:r>
      <w:r w:rsidR="003C1EC1">
        <w:rPr>
          <w:rFonts w:ascii="仿宋_GB2312" w:eastAsia="仿宋_GB2312" w:hint="eastAsia"/>
          <w:sz w:val="32"/>
          <w:szCs w:val="32"/>
        </w:rPr>
        <w:t>除</w:t>
      </w:r>
      <w:r w:rsidRPr="00B45786">
        <w:rPr>
          <w:rFonts w:ascii="仿宋_GB2312" w:eastAsia="仿宋_GB2312" w:hint="eastAsia"/>
          <w:sz w:val="32"/>
          <w:szCs w:val="32"/>
        </w:rPr>
        <w:t>医疗保健类上涨12.9%涨幅</w:t>
      </w:r>
      <w:r w:rsidR="003C1EC1">
        <w:rPr>
          <w:rFonts w:ascii="仿宋_GB2312" w:eastAsia="仿宋_GB2312" w:hint="eastAsia"/>
          <w:sz w:val="32"/>
          <w:szCs w:val="32"/>
        </w:rPr>
        <w:t>较</w:t>
      </w:r>
      <w:r w:rsidRPr="00B45786">
        <w:rPr>
          <w:rFonts w:ascii="仿宋_GB2312" w:eastAsia="仿宋_GB2312" w:hint="eastAsia"/>
          <w:sz w:val="32"/>
          <w:szCs w:val="32"/>
        </w:rPr>
        <w:t>大</w:t>
      </w:r>
      <w:r w:rsidR="003C1EC1">
        <w:rPr>
          <w:rFonts w:ascii="仿宋_GB2312" w:eastAsia="仿宋_GB2312" w:hint="eastAsia"/>
          <w:sz w:val="32"/>
          <w:szCs w:val="32"/>
        </w:rPr>
        <w:t>外,</w:t>
      </w:r>
      <w:r w:rsidRPr="00B45786">
        <w:rPr>
          <w:rFonts w:ascii="仿宋_GB2312" w:eastAsia="仿宋_GB2312" w:hint="eastAsia"/>
          <w:sz w:val="32"/>
          <w:szCs w:val="32"/>
        </w:rPr>
        <w:t>其他</w:t>
      </w:r>
      <w:r w:rsidR="003C1EC1">
        <w:rPr>
          <w:rFonts w:ascii="仿宋_GB2312" w:eastAsia="仿宋_GB2312" w:hint="eastAsia"/>
          <w:sz w:val="32"/>
          <w:szCs w:val="32"/>
        </w:rPr>
        <w:t>涨幅均在3%以下,</w:t>
      </w:r>
      <w:r w:rsidRPr="00B45786">
        <w:rPr>
          <w:rFonts w:ascii="仿宋_GB2312" w:eastAsia="仿宋_GB2312" w:hint="eastAsia"/>
          <w:sz w:val="32"/>
          <w:szCs w:val="32"/>
        </w:rPr>
        <w:t>依次为</w:t>
      </w:r>
      <w:r w:rsidR="00B45786" w:rsidRPr="00B45786">
        <w:rPr>
          <w:rFonts w:ascii="仿宋_GB2312" w:eastAsia="仿宋_GB2312" w:hint="eastAsia"/>
          <w:sz w:val="32"/>
          <w:szCs w:val="32"/>
        </w:rPr>
        <w:t>食品烟酒类</w:t>
      </w:r>
      <w:r w:rsidR="00B45786">
        <w:rPr>
          <w:rFonts w:ascii="仿宋_GB2312" w:eastAsia="仿宋_GB2312" w:hint="eastAsia"/>
          <w:sz w:val="32"/>
          <w:szCs w:val="32"/>
        </w:rPr>
        <w:t>、</w:t>
      </w:r>
      <w:r w:rsidRPr="00B45786">
        <w:rPr>
          <w:rFonts w:ascii="仿宋_GB2312" w:eastAsia="仿宋_GB2312" w:hint="eastAsia"/>
          <w:sz w:val="32"/>
          <w:szCs w:val="32"/>
        </w:rPr>
        <w:t>其他用品和服务、居住、衣着、交通和通信、生活用品及服务、教育文化和娱乐，涨幅分别</w:t>
      </w:r>
      <w:r w:rsidR="00B45786" w:rsidRPr="00B45786">
        <w:rPr>
          <w:rFonts w:ascii="仿宋_GB2312" w:eastAsia="仿宋_GB2312" w:hint="eastAsia"/>
          <w:sz w:val="32"/>
          <w:szCs w:val="32"/>
        </w:rPr>
        <w:t>为2.9%</w:t>
      </w:r>
      <w:r w:rsidR="00B45786">
        <w:rPr>
          <w:rFonts w:ascii="仿宋_GB2312" w:eastAsia="仿宋_GB2312" w:hint="eastAsia"/>
          <w:sz w:val="32"/>
          <w:szCs w:val="32"/>
        </w:rPr>
        <w:t>、</w:t>
      </w:r>
      <w:r w:rsidRPr="00B45786">
        <w:rPr>
          <w:rFonts w:ascii="仿宋_GB2312" w:eastAsia="仿宋_GB2312" w:hint="eastAsia"/>
          <w:sz w:val="32"/>
          <w:szCs w:val="32"/>
        </w:rPr>
        <w:t>1.0%、0.8%、0.6%、0.3%、0.3%、0.1%。</w:t>
      </w:r>
      <w:r w:rsidR="00B45786" w:rsidRPr="00B45786">
        <w:rPr>
          <w:rFonts w:ascii="仿宋_GB2312" w:eastAsia="仿宋_GB2312" w:hint="eastAsia"/>
          <w:sz w:val="32"/>
          <w:szCs w:val="32"/>
        </w:rPr>
        <w:t>工业生产者价格有所回升。全年工业生产者出厂价格上涨0.2%，其中生产资料上涨0.1%，生活资料上涨0.4%；工业生产者购进价格下降0.2%。</w:t>
      </w:r>
    </w:p>
    <w:p w:rsidR="00C86179" w:rsidRPr="00FD0E93" w:rsidRDefault="00C86179" w:rsidP="00C86179">
      <w:pPr>
        <w:adjustRightInd w:val="0"/>
        <w:jc w:val="center"/>
        <w:rPr>
          <w:rFonts w:ascii="宋体" w:eastAsia="宋体" w:hAnsi="宋体" w:cs="Times New Roman"/>
          <w:sz w:val="28"/>
          <w:szCs w:val="28"/>
        </w:rPr>
      </w:pPr>
      <w:r w:rsidRPr="00FD0E93">
        <w:rPr>
          <w:rFonts w:ascii="宋体" w:eastAsia="宋体" w:hAnsi="宋体" w:cs="Times New Roman" w:hint="eastAsia"/>
          <w:sz w:val="28"/>
          <w:szCs w:val="28"/>
        </w:rPr>
        <w:t>表1:连云港CPI八大类指数情况</w:t>
      </w:r>
    </w:p>
    <w:tbl>
      <w:tblPr>
        <w:tblW w:w="5837" w:type="dxa"/>
        <w:jc w:val="center"/>
        <w:tblLook w:val="0000" w:firstRow="0" w:lastRow="0" w:firstColumn="0" w:lastColumn="0" w:noHBand="0" w:noVBand="0"/>
      </w:tblPr>
      <w:tblGrid>
        <w:gridCol w:w="3019"/>
        <w:gridCol w:w="2818"/>
      </w:tblGrid>
      <w:tr w:rsidR="00FD0E93" w:rsidRPr="0055239A" w:rsidTr="00FD0E93">
        <w:trPr>
          <w:trHeight w:val="505"/>
          <w:jc w:val="center"/>
        </w:trPr>
        <w:tc>
          <w:tcPr>
            <w:tcW w:w="3019" w:type="dxa"/>
            <w:tcBorders>
              <w:top w:val="single" w:sz="4" w:space="0" w:color="auto"/>
              <w:bottom w:val="single" w:sz="4" w:space="0" w:color="auto"/>
              <w:right w:val="single" w:sz="4" w:space="0" w:color="auto"/>
            </w:tcBorders>
            <w:shd w:val="clear" w:color="auto" w:fill="auto"/>
            <w:vAlign w:val="center"/>
          </w:tcPr>
          <w:p w:rsidR="00FD0E93" w:rsidRPr="00FD0E93" w:rsidRDefault="00FD0E93" w:rsidP="00605EED">
            <w:pPr>
              <w:widowControl/>
              <w:jc w:val="center"/>
              <w:rPr>
                <w:rFonts w:ascii="宋体" w:eastAsia="宋体" w:hAnsi="宋体" w:cs="宋体"/>
                <w:kern w:val="0"/>
                <w:szCs w:val="21"/>
              </w:rPr>
            </w:pPr>
            <w:r w:rsidRPr="00FD0E93">
              <w:rPr>
                <w:rFonts w:ascii="宋体" w:eastAsia="宋体" w:hAnsi="宋体" w:cs="宋体" w:hint="eastAsia"/>
                <w:kern w:val="0"/>
                <w:szCs w:val="21"/>
              </w:rPr>
              <w:t>项目名称</w:t>
            </w:r>
          </w:p>
        </w:tc>
        <w:tc>
          <w:tcPr>
            <w:tcW w:w="2818" w:type="dxa"/>
            <w:tcBorders>
              <w:top w:val="single" w:sz="4" w:space="0" w:color="auto"/>
              <w:left w:val="single" w:sz="4" w:space="0" w:color="auto"/>
              <w:bottom w:val="single" w:sz="4" w:space="0" w:color="auto"/>
            </w:tcBorders>
            <w:shd w:val="clear" w:color="auto" w:fill="auto"/>
            <w:vAlign w:val="center"/>
          </w:tcPr>
          <w:p w:rsidR="00FD0E93" w:rsidRPr="00FD0E93" w:rsidRDefault="00FD0E93" w:rsidP="003C1EC1">
            <w:pPr>
              <w:widowControl/>
              <w:jc w:val="center"/>
              <w:rPr>
                <w:rFonts w:ascii="宋体" w:eastAsia="宋体" w:hAnsi="宋体" w:cs="宋体"/>
                <w:kern w:val="0"/>
                <w:szCs w:val="21"/>
              </w:rPr>
            </w:pPr>
            <w:r w:rsidRPr="00FD0E93">
              <w:rPr>
                <w:rFonts w:ascii="宋体" w:eastAsia="宋体" w:hAnsi="宋体" w:cs="宋体" w:hint="eastAsia"/>
                <w:kern w:val="0"/>
                <w:szCs w:val="21"/>
              </w:rPr>
              <w:t>2016年同比指数</w:t>
            </w:r>
          </w:p>
        </w:tc>
      </w:tr>
      <w:tr w:rsidR="00FD0E93" w:rsidRPr="0055239A" w:rsidTr="00FD0E93">
        <w:trPr>
          <w:trHeight w:val="360"/>
          <w:jc w:val="center"/>
        </w:trPr>
        <w:tc>
          <w:tcPr>
            <w:tcW w:w="3019" w:type="dxa"/>
            <w:tcBorders>
              <w:top w:val="single" w:sz="4" w:space="0" w:color="auto"/>
              <w:bottom w:val="single" w:sz="4" w:space="0" w:color="auto"/>
              <w:right w:val="single" w:sz="4" w:space="0" w:color="auto"/>
            </w:tcBorders>
            <w:shd w:val="clear" w:color="auto" w:fill="auto"/>
            <w:noWrap/>
            <w:vAlign w:val="center"/>
          </w:tcPr>
          <w:p w:rsidR="00FD0E93" w:rsidRPr="00FD0E93" w:rsidRDefault="00FD0E93" w:rsidP="00FD0E93">
            <w:pPr>
              <w:widowControl/>
              <w:jc w:val="left"/>
              <w:rPr>
                <w:rFonts w:ascii="宋体" w:eastAsia="宋体" w:hAnsi="宋体" w:cs="宋体"/>
                <w:kern w:val="0"/>
                <w:szCs w:val="21"/>
              </w:rPr>
            </w:pPr>
            <w:r w:rsidRPr="00FD0E93">
              <w:rPr>
                <w:rFonts w:ascii="宋体" w:eastAsia="宋体" w:hAnsi="宋体" w:cs="宋体" w:hint="eastAsia"/>
                <w:kern w:val="0"/>
                <w:szCs w:val="21"/>
              </w:rPr>
              <w:t>居民消费价格总指数</w:t>
            </w:r>
          </w:p>
        </w:tc>
        <w:tc>
          <w:tcPr>
            <w:tcW w:w="2818" w:type="dxa"/>
            <w:tcBorders>
              <w:top w:val="nil"/>
              <w:left w:val="nil"/>
              <w:bottom w:val="single" w:sz="4" w:space="0" w:color="auto"/>
            </w:tcBorders>
            <w:shd w:val="clear" w:color="auto" w:fill="auto"/>
            <w:noWrap/>
            <w:vAlign w:val="center"/>
          </w:tcPr>
          <w:p w:rsidR="00FD0E93" w:rsidRPr="00FD0E93" w:rsidRDefault="00FD0E93" w:rsidP="00605EED">
            <w:pPr>
              <w:widowControl/>
              <w:jc w:val="center"/>
              <w:rPr>
                <w:rFonts w:ascii="宋体" w:eastAsia="宋体" w:hAnsi="宋体" w:cs="宋体"/>
                <w:kern w:val="0"/>
                <w:szCs w:val="21"/>
              </w:rPr>
            </w:pPr>
            <w:r w:rsidRPr="00FD0E93">
              <w:rPr>
                <w:rFonts w:ascii="宋体" w:eastAsia="宋体" w:hAnsi="宋体" w:cs="宋体" w:hint="eastAsia"/>
                <w:kern w:val="0"/>
                <w:szCs w:val="21"/>
              </w:rPr>
              <w:t>102.1</w:t>
            </w:r>
          </w:p>
        </w:tc>
      </w:tr>
      <w:tr w:rsidR="00FD0E93" w:rsidRPr="0055239A" w:rsidTr="00FD0E93">
        <w:trPr>
          <w:trHeight w:val="300"/>
          <w:jc w:val="center"/>
        </w:trPr>
        <w:tc>
          <w:tcPr>
            <w:tcW w:w="3019" w:type="dxa"/>
            <w:tcBorders>
              <w:top w:val="nil"/>
              <w:bottom w:val="single" w:sz="4" w:space="0" w:color="auto"/>
              <w:right w:val="single" w:sz="4" w:space="0" w:color="auto"/>
            </w:tcBorders>
            <w:shd w:val="clear" w:color="auto" w:fill="auto"/>
            <w:noWrap/>
            <w:vAlign w:val="center"/>
          </w:tcPr>
          <w:p w:rsidR="00FD0E93" w:rsidRPr="00FD0E93" w:rsidRDefault="00FD0E93" w:rsidP="00FD0E93">
            <w:pPr>
              <w:widowControl/>
              <w:jc w:val="left"/>
              <w:rPr>
                <w:rFonts w:ascii="宋体" w:eastAsia="宋体" w:hAnsi="宋体" w:cs="宋体"/>
                <w:kern w:val="0"/>
                <w:szCs w:val="21"/>
              </w:rPr>
            </w:pPr>
            <w:r w:rsidRPr="00FD0E93">
              <w:rPr>
                <w:rFonts w:ascii="宋体" w:hAnsi="宋体" w:cs="宋体" w:hint="eastAsia"/>
                <w:kern w:val="0"/>
                <w:szCs w:val="21"/>
              </w:rPr>
              <w:t xml:space="preserve">  </w:t>
            </w:r>
            <w:r w:rsidRPr="00FD0E93">
              <w:rPr>
                <w:rFonts w:ascii="宋体" w:eastAsia="宋体" w:hAnsi="宋体" w:cs="宋体" w:hint="eastAsia"/>
                <w:kern w:val="0"/>
                <w:szCs w:val="21"/>
              </w:rPr>
              <w:t>一、食品烟酒</w:t>
            </w:r>
          </w:p>
        </w:tc>
        <w:tc>
          <w:tcPr>
            <w:tcW w:w="2818" w:type="dxa"/>
            <w:tcBorders>
              <w:top w:val="nil"/>
              <w:left w:val="nil"/>
              <w:bottom w:val="single" w:sz="4" w:space="0" w:color="auto"/>
            </w:tcBorders>
            <w:shd w:val="clear" w:color="auto" w:fill="auto"/>
            <w:noWrap/>
            <w:vAlign w:val="center"/>
          </w:tcPr>
          <w:p w:rsidR="00FD0E93" w:rsidRPr="00FD0E93" w:rsidRDefault="00FD0E93" w:rsidP="00605EED">
            <w:pPr>
              <w:widowControl/>
              <w:jc w:val="center"/>
              <w:rPr>
                <w:rFonts w:ascii="宋体" w:eastAsia="宋体" w:hAnsi="宋体" w:cs="宋体"/>
                <w:kern w:val="0"/>
                <w:szCs w:val="21"/>
              </w:rPr>
            </w:pPr>
            <w:r w:rsidRPr="00FD0E93">
              <w:rPr>
                <w:rFonts w:ascii="宋体" w:eastAsia="宋体" w:hAnsi="宋体" w:cs="宋体" w:hint="eastAsia"/>
                <w:kern w:val="0"/>
                <w:szCs w:val="21"/>
              </w:rPr>
              <w:t>102.9</w:t>
            </w:r>
          </w:p>
        </w:tc>
      </w:tr>
      <w:tr w:rsidR="00FD0E93" w:rsidRPr="0055239A" w:rsidTr="00FD0E93">
        <w:trPr>
          <w:trHeight w:val="300"/>
          <w:jc w:val="center"/>
        </w:trPr>
        <w:tc>
          <w:tcPr>
            <w:tcW w:w="3019" w:type="dxa"/>
            <w:tcBorders>
              <w:top w:val="nil"/>
              <w:bottom w:val="single" w:sz="4" w:space="0" w:color="auto"/>
              <w:right w:val="single" w:sz="4" w:space="0" w:color="auto"/>
            </w:tcBorders>
            <w:shd w:val="clear" w:color="auto" w:fill="auto"/>
            <w:noWrap/>
            <w:vAlign w:val="center"/>
          </w:tcPr>
          <w:p w:rsidR="00FD0E93" w:rsidRPr="00FD0E93" w:rsidRDefault="00FD0E93" w:rsidP="00FD0E93">
            <w:pPr>
              <w:widowControl/>
              <w:jc w:val="left"/>
              <w:rPr>
                <w:rFonts w:ascii="宋体" w:eastAsia="宋体" w:hAnsi="宋体" w:cs="宋体"/>
                <w:kern w:val="0"/>
                <w:szCs w:val="21"/>
              </w:rPr>
            </w:pPr>
            <w:r w:rsidRPr="00FD0E93">
              <w:rPr>
                <w:rFonts w:ascii="宋体" w:hAnsi="宋体" w:cs="宋体" w:hint="eastAsia"/>
                <w:kern w:val="0"/>
                <w:szCs w:val="21"/>
              </w:rPr>
              <w:t xml:space="preserve">  </w:t>
            </w:r>
            <w:r w:rsidRPr="00FD0E93">
              <w:rPr>
                <w:rFonts w:ascii="宋体" w:eastAsia="宋体" w:hAnsi="宋体" w:cs="宋体" w:hint="eastAsia"/>
                <w:kern w:val="0"/>
                <w:szCs w:val="21"/>
              </w:rPr>
              <w:t>二、衣着</w:t>
            </w:r>
          </w:p>
        </w:tc>
        <w:tc>
          <w:tcPr>
            <w:tcW w:w="2818" w:type="dxa"/>
            <w:tcBorders>
              <w:top w:val="nil"/>
              <w:left w:val="nil"/>
              <w:bottom w:val="single" w:sz="4" w:space="0" w:color="auto"/>
            </w:tcBorders>
            <w:shd w:val="clear" w:color="auto" w:fill="auto"/>
            <w:noWrap/>
            <w:vAlign w:val="center"/>
          </w:tcPr>
          <w:p w:rsidR="00FD0E93" w:rsidRPr="00FD0E93" w:rsidRDefault="00FD0E93" w:rsidP="00605EED">
            <w:pPr>
              <w:widowControl/>
              <w:jc w:val="center"/>
              <w:rPr>
                <w:rFonts w:ascii="宋体" w:eastAsia="宋体" w:hAnsi="宋体" w:cs="宋体"/>
                <w:kern w:val="0"/>
                <w:szCs w:val="21"/>
              </w:rPr>
            </w:pPr>
            <w:r w:rsidRPr="00FD0E93">
              <w:rPr>
                <w:rFonts w:ascii="宋体" w:eastAsia="宋体" w:hAnsi="宋体" w:cs="宋体" w:hint="eastAsia"/>
                <w:kern w:val="0"/>
                <w:szCs w:val="21"/>
              </w:rPr>
              <w:t>100.6</w:t>
            </w:r>
          </w:p>
        </w:tc>
      </w:tr>
      <w:tr w:rsidR="00FD0E93" w:rsidRPr="0055239A" w:rsidTr="00FD0E93">
        <w:trPr>
          <w:trHeight w:val="300"/>
          <w:jc w:val="center"/>
        </w:trPr>
        <w:tc>
          <w:tcPr>
            <w:tcW w:w="3019" w:type="dxa"/>
            <w:tcBorders>
              <w:top w:val="nil"/>
              <w:bottom w:val="single" w:sz="4" w:space="0" w:color="auto"/>
              <w:right w:val="single" w:sz="4" w:space="0" w:color="auto"/>
            </w:tcBorders>
            <w:shd w:val="clear" w:color="auto" w:fill="auto"/>
            <w:noWrap/>
            <w:vAlign w:val="center"/>
          </w:tcPr>
          <w:p w:rsidR="00FD0E93" w:rsidRPr="00FD0E93" w:rsidRDefault="00FD0E93" w:rsidP="00FD0E93">
            <w:pPr>
              <w:widowControl/>
              <w:jc w:val="left"/>
              <w:rPr>
                <w:rFonts w:ascii="宋体" w:eastAsia="宋体" w:hAnsi="宋体" w:cs="宋体"/>
                <w:kern w:val="0"/>
                <w:szCs w:val="21"/>
              </w:rPr>
            </w:pPr>
            <w:r w:rsidRPr="00FD0E93">
              <w:rPr>
                <w:rFonts w:ascii="宋体" w:hAnsi="宋体" w:cs="宋体" w:hint="eastAsia"/>
                <w:kern w:val="0"/>
                <w:szCs w:val="21"/>
              </w:rPr>
              <w:t xml:space="preserve">  </w:t>
            </w:r>
            <w:r w:rsidRPr="00FD0E93">
              <w:rPr>
                <w:rFonts w:ascii="宋体" w:eastAsia="宋体" w:hAnsi="宋体" w:cs="宋体" w:hint="eastAsia"/>
                <w:kern w:val="0"/>
                <w:szCs w:val="21"/>
              </w:rPr>
              <w:t>三、居住</w:t>
            </w:r>
          </w:p>
        </w:tc>
        <w:tc>
          <w:tcPr>
            <w:tcW w:w="2818" w:type="dxa"/>
            <w:tcBorders>
              <w:top w:val="nil"/>
              <w:left w:val="nil"/>
              <w:bottom w:val="single" w:sz="4" w:space="0" w:color="auto"/>
            </w:tcBorders>
            <w:shd w:val="clear" w:color="auto" w:fill="auto"/>
            <w:noWrap/>
            <w:vAlign w:val="center"/>
          </w:tcPr>
          <w:p w:rsidR="00FD0E93" w:rsidRPr="00FD0E93" w:rsidRDefault="00FD0E93" w:rsidP="00605EED">
            <w:pPr>
              <w:widowControl/>
              <w:jc w:val="center"/>
              <w:rPr>
                <w:rFonts w:ascii="宋体" w:eastAsia="宋体" w:hAnsi="宋体" w:cs="宋体"/>
                <w:kern w:val="0"/>
                <w:szCs w:val="21"/>
              </w:rPr>
            </w:pPr>
            <w:r w:rsidRPr="00FD0E93">
              <w:rPr>
                <w:rFonts w:ascii="宋体" w:eastAsia="宋体" w:hAnsi="宋体" w:cs="宋体" w:hint="eastAsia"/>
                <w:kern w:val="0"/>
                <w:szCs w:val="21"/>
              </w:rPr>
              <w:t>100.8</w:t>
            </w:r>
          </w:p>
        </w:tc>
      </w:tr>
      <w:tr w:rsidR="00FD0E93" w:rsidRPr="0055239A" w:rsidTr="00FD0E93">
        <w:trPr>
          <w:trHeight w:val="300"/>
          <w:jc w:val="center"/>
        </w:trPr>
        <w:tc>
          <w:tcPr>
            <w:tcW w:w="3019" w:type="dxa"/>
            <w:tcBorders>
              <w:top w:val="nil"/>
              <w:bottom w:val="single" w:sz="4" w:space="0" w:color="auto"/>
              <w:right w:val="single" w:sz="4" w:space="0" w:color="auto"/>
            </w:tcBorders>
            <w:shd w:val="clear" w:color="auto" w:fill="auto"/>
            <w:noWrap/>
            <w:vAlign w:val="center"/>
          </w:tcPr>
          <w:p w:rsidR="00FD0E93" w:rsidRPr="00FD0E93" w:rsidRDefault="00FD0E93" w:rsidP="00FD0E93">
            <w:pPr>
              <w:widowControl/>
              <w:jc w:val="left"/>
              <w:rPr>
                <w:rFonts w:ascii="宋体" w:eastAsia="宋体" w:hAnsi="宋体" w:cs="宋体"/>
                <w:kern w:val="0"/>
                <w:szCs w:val="21"/>
              </w:rPr>
            </w:pPr>
            <w:r w:rsidRPr="00FD0E93">
              <w:rPr>
                <w:rFonts w:ascii="宋体" w:hAnsi="宋体" w:cs="宋体" w:hint="eastAsia"/>
                <w:kern w:val="0"/>
                <w:szCs w:val="21"/>
              </w:rPr>
              <w:t xml:space="preserve">  </w:t>
            </w:r>
            <w:r w:rsidRPr="00FD0E93">
              <w:rPr>
                <w:rFonts w:ascii="宋体" w:eastAsia="宋体" w:hAnsi="宋体" w:cs="宋体" w:hint="eastAsia"/>
                <w:kern w:val="0"/>
                <w:szCs w:val="21"/>
              </w:rPr>
              <w:t>四、生活用品及服务</w:t>
            </w:r>
          </w:p>
        </w:tc>
        <w:tc>
          <w:tcPr>
            <w:tcW w:w="2818" w:type="dxa"/>
            <w:tcBorders>
              <w:top w:val="nil"/>
              <w:left w:val="nil"/>
              <w:bottom w:val="single" w:sz="4" w:space="0" w:color="auto"/>
            </w:tcBorders>
            <w:shd w:val="clear" w:color="auto" w:fill="auto"/>
            <w:noWrap/>
            <w:vAlign w:val="center"/>
          </w:tcPr>
          <w:p w:rsidR="00FD0E93" w:rsidRPr="00FD0E93" w:rsidRDefault="00FD0E93" w:rsidP="00605EED">
            <w:pPr>
              <w:widowControl/>
              <w:jc w:val="center"/>
              <w:rPr>
                <w:rFonts w:ascii="宋体" w:eastAsia="宋体" w:hAnsi="宋体" w:cs="宋体"/>
                <w:kern w:val="0"/>
                <w:szCs w:val="21"/>
              </w:rPr>
            </w:pPr>
            <w:r w:rsidRPr="00FD0E93">
              <w:rPr>
                <w:rFonts w:ascii="宋体" w:eastAsia="宋体" w:hAnsi="宋体" w:cs="宋体" w:hint="eastAsia"/>
                <w:kern w:val="0"/>
                <w:szCs w:val="21"/>
              </w:rPr>
              <w:t>100.3</w:t>
            </w:r>
          </w:p>
        </w:tc>
      </w:tr>
      <w:tr w:rsidR="00FD0E93" w:rsidRPr="0055239A" w:rsidTr="00FD0E93">
        <w:trPr>
          <w:trHeight w:val="300"/>
          <w:jc w:val="center"/>
        </w:trPr>
        <w:tc>
          <w:tcPr>
            <w:tcW w:w="3019" w:type="dxa"/>
            <w:tcBorders>
              <w:top w:val="nil"/>
              <w:bottom w:val="single" w:sz="4" w:space="0" w:color="auto"/>
              <w:right w:val="single" w:sz="4" w:space="0" w:color="auto"/>
            </w:tcBorders>
            <w:shd w:val="clear" w:color="auto" w:fill="auto"/>
            <w:noWrap/>
            <w:vAlign w:val="center"/>
          </w:tcPr>
          <w:p w:rsidR="00FD0E93" w:rsidRPr="00FD0E93" w:rsidRDefault="00FD0E93" w:rsidP="00FD0E93">
            <w:pPr>
              <w:widowControl/>
              <w:jc w:val="left"/>
              <w:rPr>
                <w:rFonts w:ascii="宋体" w:eastAsia="宋体" w:hAnsi="宋体" w:cs="宋体"/>
                <w:kern w:val="0"/>
                <w:szCs w:val="21"/>
              </w:rPr>
            </w:pPr>
            <w:r w:rsidRPr="00FD0E93">
              <w:rPr>
                <w:rFonts w:ascii="宋体" w:hAnsi="宋体" w:cs="宋体" w:hint="eastAsia"/>
                <w:kern w:val="0"/>
                <w:szCs w:val="21"/>
              </w:rPr>
              <w:t xml:space="preserve">  </w:t>
            </w:r>
            <w:r w:rsidRPr="00FD0E93">
              <w:rPr>
                <w:rFonts w:ascii="宋体" w:eastAsia="宋体" w:hAnsi="宋体" w:cs="宋体" w:hint="eastAsia"/>
                <w:kern w:val="0"/>
                <w:szCs w:val="21"/>
              </w:rPr>
              <w:t>五、交通和通信</w:t>
            </w:r>
          </w:p>
        </w:tc>
        <w:tc>
          <w:tcPr>
            <w:tcW w:w="2818" w:type="dxa"/>
            <w:tcBorders>
              <w:top w:val="nil"/>
              <w:left w:val="nil"/>
              <w:bottom w:val="single" w:sz="4" w:space="0" w:color="auto"/>
            </w:tcBorders>
            <w:shd w:val="clear" w:color="auto" w:fill="auto"/>
            <w:noWrap/>
            <w:vAlign w:val="center"/>
          </w:tcPr>
          <w:p w:rsidR="00FD0E93" w:rsidRPr="00FD0E93" w:rsidRDefault="00FD0E93" w:rsidP="00605EED">
            <w:pPr>
              <w:widowControl/>
              <w:jc w:val="center"/>
              <w:rPr>
                <w:rFonts w:ascii="宋体" w:eastAsia="宋体" w:hAnsi="宋体" w:cs="宋体"/>
                <w:kern w:val="0"/>
                <w:szCs w:val="21"/>
              </w:rPr>
            </w:pPr>
            <w:r w:rsidRPr="00FD0E93">
              <w:rPr>
                <w:rFonts w:ascii="宋体" w:eastAsia="宋体" w:hAnsi="宋体" w:cs="宋体" w:hint="eastAsia"/>
                <w:kern w:val="0"/>
                <w:szCs w:val="21"/>
              </w:rPr>
              <w:t>100.3</w:t>
            </w:r>
          </w:p>
        </w:tc>
      </w:tr>
      <w:tr w:rsidR="00FD0E93" w:rsidRPr="0055239A" w:rsidTr="00FD0E93">
        <w:trPr>
          <w:trHeight w:val="300"/>
          <w:jc w:val="center"/>
        </w:trPr>
        <w:tc>
          <w:tcPr>
            <w:tcW w:w="3019" w:type="dxa"/>
            <w:tcBorders>
              <w:top w:val="nil"/>
              <w:bottom w:val="single" w:sz="4" w:space="0" w:color="auto"/>
              <w:right w:val="single" w:sz="4" w:space="0" w:color="auto"/>
            </w:tcBorders>
            <w:shd w:val="clear" w:color="auto" w:fill="auto"/>
            <w:noWrap/>
            <w:vAlign w:val="center"/>
          </w:tcPr>
          <w:p w:rsidR="00FD0E93" w:rsidRPr="00FD0E93" w:rsidRDefault="00FD0E93" w:rsidP="00FD0E93">
            <w:pPr>
              <w:widowControl/>
              <w:jc w:val="left"/>
              <w:rPr>
                <w:rFonts w:ascii="宋体" w:eastAsia="宋体" w:hAnsi="宋体" w:cs="宋体"/>
                <w:kern w:val="0"/>
                <w:szCs w:val="21"/>
              </w:rPr>
            </w:pPr>
            <w:r w:rsidRPr="00FD0E93">
              <w:rPr>
                <w:rFonts w:ascii="宋体" w:hAnsi="宋体" w:cs="宋体" w:hint="eastAsia"/>
                <w:kern w:val="0"/>
                <w:szCs w:val="21"/>
              </w:rPr>
              <w:t xml:space="preserve">  </w:t>
            </w:r>
            <w:r w:rsidRPr="00FD0E93">
              <w:rPr>
                <w:rFonts w:ascii="宋体" w:eastAsia="宋体" w:hAnsi="宋体" w:cs="宋体" w:hint="eastAsia"/>
                <w:kern w:val="0"/>
                <w:szCs w:val="21"/>
              </w:rPr>
              <w:t>六、教育文化和娱乐</w:t>
            </w:r>
          </w:p>
        </w:tc>
        <w:tc>
          <w:tcPr>
            <w:tcW w:w="2818" w:type="dxa"/>
            <w:tcBorders>
              <w:top w:val="nil"/>
              <w:left w:val="nil"/>
              <w:bottom w:val="single" w:sz="4" w:space="0" w:color="auto"/>
            </w:tcBorders>
            <w:shd w:val="clear" w:color="auto" w:fill="auto"/>
            <w:noWrap/>
            <w:vAlign w:val="center"/>
          </w:tcPr>
          <w:p w:rsidR="00FD0E93" w:rsidRPr="00FD0E93" w:rsidRDefault="00FD0E93" w:rsidP="00605EED">
            <w:pPr>
              <w:widowControl/>
              <w:jc w:val="center"/>
              <w:rPr>
                <w:rFonts w:ascii="宋体" w:eastAsia="宋体" w:hAnsi="宋体" w:cs="宋体"/>
                <w:kern w:val="0"/>
                <w:szCs w:val="21"/>
              </w:rPr>
            </w:pPr>
            <w:r w:rsidRPr="00FD0E93">
              <w:rPr>
                <w:rFonts w:ascii="宋体" w:eastAsia="宋体" w:hAnsi="宋体" w:cs="宋体" w:hint="eastAsia"/>
                <w:kern w:val="0"/>
                <w:szCs w:val="21"/>
              </w:rPr>
              <w:t>100.1</w:t>
            </w:r>
          </w:p>
        </w:tc>
      </w:tr>
      <w:tr w:rsidR="00FD0E93" w:rsidRPr="0055239A" w:rsidTr="00FD0E93">
        <w:trPr>
          <w:trHeight w:val="300"/>
          <w:jc w:val="center"/>
        </w:trPr>
        <w:tc>
          <w:tcPr>
            <w:tcW w:w="3019" w:type="dxa"/>
            <w:tcBorders>
              <w:top w:val="nil"/>
              <w:bottom w:val="single" w:sz="4" w:space="0" w:color="auto"/>
              <w:right w:val="single" w:sz="4" w:space="0" w:color="auto"/>
            </w:tcBorders>
            <w:shd w:val="clear" w:color="auto" w:fill="auto"/>
            <w:noWrap/>
            <w:vAlign w:val="center"/>
          </w:tcPr>
          <w:p w:rsidR="00FD0E93" w:rsidRPr="00FD0E93" w:rsidRDefault="00FD0E93" w:rsidP="00FD0E93">
            <w:pPr>
              <w:widowControl/>
              <w:jc w:val="left"/>
              <w:rPr>
                <w:rFonts w:ascii="宋体" w:eastAsia="宋体" w:hAnsi="宋体" w:cs="宋体"/>
                <w:kern w:val="0"/>
                <w:szCs w:val="21"/>
              </w:rPr>
            </w:pPr>
            <w:r w:rsidRPr="00FD0E93">
              <w:rPr>
                <w:rFonts w:ascii="宋体" w:hAnsi="宋体" w:cs="宋体" w:hint="eastAsia"/>
                <w:kern w:val="0"/>
                <w:szCs w:val="21"/>
              </w:rPr>
              <w:t xml:space="preserve">  </w:t>
            </w:r>
            <w:r w:rsidRPr="00FD0E93">
              <w:rPr>
                <w:rFonts w:ascii="宋体" w:eastAsia="宋体" w:hAnsi="宋体" w:cs="宋体" w:hint="eastAsia"/>
                <w:kern w:val="0"/>
                <w:szCs w:val="21"/>
              </w:rPr>
              <w:t>七、医疗保健</w:t>
            </w:r>
          </w:p>
        </w:tc>
        <w:tc>
          <w:tcPr>
            <w:tcW w:w="2818" w:type="dxa"/>
            <w:tcBorders>
              <w:top w:val="nil"/>
              <w:left w:val="nil"/>
              <w:bottom w:val="single" w:sz="4" w:space="0" w:color="auto"/>
            </w:tcBorders>
            <w:shd w:val="clear" w:color="auto" w:fill="auto"/>
            <w:noWrap/>
            <w:vAlign w:val="center"/>
          </w:tcPr>
          <w:p w:rsidR="00FD0E93" w:rsidRPr="00FD0E93" w:rsidRDefault="00FD0E93" w:rsidP="00605EED">
            <w:pPr>
              <w:widowControl/>
              <w:jc w:val="center"/>
              <w:rPr>
                <w:rFonts w:ascii="宋体" w:eastAsia="宋体" w:hAnsi="宋体" w:cs="宋体"/>
                <w:kern w:val="0"/>
                <w:szCs w:val="21"/>
              </w:rPr>
            </w:pPr>
            <w:r w:rsidRPr="00FD0E93">
              <w:rPr>
                <w:rFonts w:ascii="宋体" w:eastAsia="宋体" w:hAnsi="宋体" w:cs="宋体" w:hint="eastAsia"/>
                <w:kern w:val="0"/>
                <w:szCs w:val="21"/>
              </w:rPr>
              <w:t>112.9</w:t>
            </w:r>
          </w:p>
        </w:tc>
      </w:tr>
      <w:tr w:rsidR="00FD0E93" w:rsidRPr="0055239A" w:rsidTr="00FD0E93">
        <w:trPr>
          <w:trHeight w:val="300"/>
          <w:jc w:val="center"/>
        </w:trPr>
        <w:tc>
          <w:tcPr>
            <w:tcW w:w="3019" w:type="dxa"/>
            <w:tcBorders>
              <w:top w:val="nil"/>
              <w:bottom w:val="single" w:sz="4" w:space="0" w:color="auto"/>
              <w:right w:val="single" w:sz="4" w:space="0" w:color="auto"/>
            </w:tcBorders>
            <w:shd w:val="clear" w:color="auto" w:fill="auto"/>
            <w:noWrap/>
            <w:vAlign w:val="center"/>
          </w:tcPr>
          <w:p w:rsidR="00FD0E93" w:rsidRPr="00FD0E93" w:rsidRDefault="00FD0E93" w:rsidP="00FD0E93">
            <w:pPr>
              <w:widowControl/>
              <w:jc w:val="left"/>
              <w:rPr>
                <w:rFonts w:ascii="宋体" w:eastAsia="宋体" w:hAnsi="宋体" w:cs="宋体"/>
                <w:kern w:val="0"/>
                <w:szCs w:val="21"/>
              </w:rPr>
            </w:pPr>
            <w:r w:rsidRPr="00FD0E93">
              <w:rPr>
                <w:rFonts w:ascii="宋体" w:hAnsi="宋体" w:cs="宋体" w:hint="eastAsia"/>
                <w:kern w:val="0"/>
                <w:szCs w:val="21"/>
              </w:rPr>
              <w:t xml:space="preserve">  </w:t>
            </w:r>
            <w:r w:rsidRPr="00FD0E93">
              <w:rPr>
                <w:rFonts w:ascii="宋体" w:eastAsia="宋体" w:hAnsi="宋体" w:cs="宋体" w:hint="eastAsia"/>
                <w:kern w:val="0"/>
                <w:szCs w:val="21"/>
              </w:rPr>
              <w:t>八、其他用品和服务</w:t>
            </w:r>
          </w:p>
        </w:tc>
        <w:tc>
          <w:tcPr>
            <w:tcW w:w="2818" w:type="dxa"/>
            <w:tcBorders>
              <w:top w:val="nil"/>
              <w:left w:val="nil"/>
              <w:bottom w:val="single" w:sz="4" w:space="0" w:color="auto"/>
            </w:tcBorders>
            <w:shd w:val="clear" w:color="auto" w:fill="auto"/>
            <w:noWrap/>
            <w:vAlign w:val="center"/>
          </w:tcPr>
          <w:p w:rsidR="00FD0E93" w:rsidRPr="00FD0E93" w:rsidRDefault="00FD0E93" w:rsidP="00605EED">
            <w:pPr>
              <w:widowControl/>
              <w:jc w:val="center"/>
              <w:rPr>
                <w:rFonts w:ascii="宋体" w:eastAsia="宋体" w:hAnsi="宋体" w:cs="宋体"/>
                <w:kern w:val="0"/>
                <w:szCs w:val="21"/>
              </w:rPr>
            </w:pPr>
            <w:r w:rsidRPr="00FD0E93">
              <w:rPr>
                <w:rFonts w:ascii="宋体" w:eastAsia="宋体" w:hAnsi="宋体" w:cs="宋体" w:hint="eastAsia"/>
                <w:kern w:val="0"/>
                <w:szCs w:val="21"/>
              </w:rPr>
              <w:t>101.0</w:t>
            </w:r>
          </w:p>
        </w:tc>
      </w:tr>
    </w:tbl>
    <w:p w:rsidR="000438C8" w:rsidRPr="00F44859" w:rsidRDefault="000438C8" w:rsidP="009262F8">
      <w:pPr>
        <w:widowControl/>
        <w:shd w:val="clear" w:color="auto" w:fill="FFFFFF"/>
        <w:spacing w:before="100" w:beforeAutospacing="1" w:after="100" w:afterAutospacing="1" w:line="560" w:lineRule="exact"/>
        <w:ind w:firstLineChars="200" w:firstLine="640"/>
        <w:jc w:val="left"/>
        <w:rPr>
          <w:rFonts w:ascii="仿宋_GB2312" w:eastAsia="仿宋_GB2312"/>
          <w:sz w:val="32"/>
          <w:szCs w:val="32"/>
        </w:rPr>
      </w:pPr>
      <w:r w:rsidRPr="00F44859">
        <w:rPr>
          <w:rFonts w:ascii="仿宋_GB2312" w:eastAsia="仿宋_GB2312" w:hint="eastAsia"/>
          <w:sz w:val="32"/>
          <w:szCs w:val="32"/>
        </w:rPr>
        <w:t>全市经济社会发展仍存在一些</w:t>
      </w:r>
      <w:r w:rsidR="00DE68FB" w:rsidRPr="00F44859">
        <w:rPr>
          <w:rFonts w:ascii="仿宋_GB2312" w:eastAsia="仿宋_GB2312" w:hAnsi="Calibri" w:cs="Times New Roman"/>
          <w:sz w:val="32"/>
          <w:szCs w:val="32"/>
        </w:rPr>
        <w:t>不足</w:t>
      </w:r>
      <w:r w:rsidRPr="00F44859">
        <w:rPr>
          <w:rFonts w:ascii="仿宋_GB2312" w:eastAsia="仿宋_GB2312" w:hint="eastAsia"/>
          <w:sz w:val="32"/>
          <w:szCs w:val="32"/>
        </w:rPr>
        <w:t>，主要表现在：</w:t>
      </w:r>
      <w:r w:rsidR="00DE68FB" w:rsidRPr="00F44859">
        <w:rPr>
          <w:rFonts w:ascii="仿宋_GB2312" w:eastAsia="仿宋_GB2312" w:hAnsi="Calibri" w:cs="Times New Roman"/>
          <w:sz w:val="32"/>
          <w:szCs w:val="32"/>
        </w:rPr>
        <w:t>经济</w:t>
      </w:r>
      <w:r w:rsidR="00F44859" w:rsidRPr="00F44859">
        <w:rPr>
          <w:rFonts w:ascii="仿宋_GB2312" w:eastAsia="仿宋_GB2312" w:hint="eastAsia"/>
          <w:sz w:val="32"/>
          <w:szCs w:val="32"/>
        </w:rPr>
        <w:t>总量仍然不大</w:t>
      </w:r>
      <w:r w:rsidR="00DE68FB" w:rsidRPr="00F44859">
        <w:rPr>
          <w:rFonts w:ascii="仿宋_GB2312" w:eastAsia="仿宋_GB2312" w:hAnsi="Calibri" w:cs="Times New Roman"/>
          <w:sz w:val="32"/>
          <w:szCs w:val="32"/>
        </w:rPr>
        <w:t>，产业短板依然突出；港口</w:t>
      </w:r>
      <w:r w:rsidR="00DE68FB" w:rsidRPr="00F44859">
        <w:rPr>
          <w:rFonts w:ascii="仿宋_GB2312" w:eastAsia="仿宋_GB2312" w:hAnsi="Calibri" w:cs="Times New Roman" w:hint="eastAsia"/>
          <w:sz w:val="32"/>
          <w:szCs w:val="32"/>
        </w:rPr>
        <w:t>核心战略资源作用</w:t>
      </w:r>
      <w:r w:rsidR="004D6786">
        <w:rPr>
          <w:rFonts w:ascii="仿宋_GB2312" w:eastAsia="仿宋_GB2312" w:hAnsi="Calibri" w:cs="Times New Roman" w:hint="eastAsia"/>
          <w:sz w:val="32"/>
          <w:szCs w:val="32"/>
        </w:rPr>
        <w:t>需要进一步</w:t>
      </w:r>
      <w:r w:rsidR="00DE68FB" w:rsidRPr="00F44859">
        <w:rPr>
          <w:rFonts w:ascii="仿宋_GB2312" w:eastAsia="仿宋_GB2312" w:hAnsi="Calibri" w:cs="Times New Roman"/>
          <w:sz w:val="32"/>
          <w:szCs w:val="32"/>
        </w:rPr>
        <w:t>发挥，港产城融合发展需要加强；创业创新氛围</w:t>
      </w:r>
      <w:r w:rsidR="00DE68FB" w:rsidRPr="00F44859">
        <w:rPr>
          <w:rFonts w:ascii="仿宋_GB2312" w:eastAsia="仿宋_GB2312" w:hAnsi="Calibri" w:cs="Times New Roman"/>
          <w:sz w:val="32"/>
          <w:szCs w:val="32"/>
        </w:rPr>
        <w:lastRenderedPageBreak/>
        <w:t>不浓，人才短缺仍然是制约发展的瓶颈；民生社会事业发展与群众期望还有一定差距</w:t>
      </w:r>
      <w:r w:rsidR="00F44859" w:rsidRPr="00F44859">
        <w:rPr>
          <w:rFonts w:ascii="仿宋_GB2312" w:eastAsia="仿宋_GB2312" w:hint="eastAsia"/>
          <w:sz w:val="32"/>
          <w:szCs w:val="32"/>
        </w:rPr>
        <w:t>等</w:t>
      </w:r>
      <w:r w:rsidR="00DE68FB" w:rsidRPr="00F44859">
        <w:rPr>
          <w:rFonts w:ascii="仿宋_GB2312" w:eastAsia="仿宋_GB2312" w:hAnsi="Calibri" w:cs="Times New Roman"/>
          <w:sz w:val="32"/>
          <w:szCs w:val="32"/>
        </w:rPr>
        <w:t>。</w:t>
      </w:r>
    </w:p>
    <w:p w:rsidR="00AC5EEC" w:rsidRDefault="00B74B05" w:rsidP="009262F8">
      <w:pPr>
        <w:widowControl/>
        <w:shd w:val="clear" w:color="auto" w:fill="FFFFFF"/>
        <w:spacing w:before="100" w:beforeAutospacing="1" w:after="100" w:afterAutospacing="1" w:line="560" w:lineRule="exact"/>
        <w:ind w:firstLineChars="200" w:firstLine="640"/>
        <w:jc w:val="left"/>
        <w:rPr>
          <w:rFonts w:ascii="宋体" w:eastAsia="宋体" w:hAnsi="宋体" w:cs="宋体"/>
          <w:color w:val="353535"/>
          <w:kern w:val="0"/>
          <w:sz w:val="24"/>
          <w:szCs w:val="24"/>
        </w:rPr>
      </w:pPr>
      <w:r w:rsidRPr="00B74B05">
        <w:rPr>
          <w:rFonts w:ascii="Times New Roman" w:eastAsia="黑体" w:hAnsi="黑体" w:cs="宋体" w:hint="eastAsia"/>
          <w:color w:val="000000"/>
          <w:kern w:val="0"/>
          <w:sz w:val="32"/>
          <w:szCs w:val="32"/>
        </w:rPr>
        <w:t>二、农林牧渔业</w:t>
      </w:r>
    </w:p>
    <w:p w:rsidR="008401F7" w:rsidRPr="001E20F6" w:rsidRDefault="008401F7" w:rsidP="009262F8">
      <w:pPr>
        <w:widowControl/>
        <w:shd w:val="clear" w:color="auto" w:fill="FFFFFF"/>
        <w:spacing w:before="100" w:beforeAutospacing="1" w:after="100" w:afterAutospacing="1" w:line="560" w:lineRule="exact"/>
        <w:ind w:firstLineChars="200" w:firstLine="640"/>
        <w:rPr>
          <w:rFonts w:ascii="仿宋_GB2312" w:eastAsia="仿宋_GB2312" w:hAnsi="仿宋" w:cs="仿宋"/>
          <w:color w:val="000000"/>
          <w:kern w:val="0"/>
          <w:sz w:val="32"/>
          <w:szCs w:val="32"/>
        </w:rPr>
      </w:pPr>
      <w:r w:rsidRPr="00AC5EEC">
        <w:rPr>
          <w:rFonts w:ascii="楷体_GB2312" w:eastAsia="楷体_GB2312" w:hAnsi="宋体" w:cs="宋体" w:hint="eastAsia"/>
          <w:color w:val="000000"/>
          <w:kern w:val="0"/>
          <w:sz w:val="32"/>
          <w:szCs w:val="32"/>
        </w:rPr>
        <w:t>粮食种植丰产丰收</w:t>
      </w:r>
      <w:r w:rsidR="00B74B05" w:rsidRPr="00AC5EEC">
        <w:rPr>
          <w:rFonts w:ascii="楷体_GB2312" w:eastAsia="楷体_GB2312" w:hAnsi="宋体" w:cs="宋体" w:hint="eastAsia"/>
          <w:color w:val="000000"/>
          <w:kern w:val="0"/>
          <w:sz w:val="32"/>
          <w:szCs w:val="32"/>
        </w:rPr>
        <w:t>。</w:t>
      </w:r>
      <w:r w:rsidR="00AC5EEC" w:rsidRPr="001E20F6">
        <w:rPr>
          <w:rFonts w:ascii="仿宋_GB2312" w:eastAsia="仿宋_GB2312" w:hAnsi="仿宋" w:cs="仿宋" w:hint="eastAsia"/>
          <w:color w:val="000000"/>
          <w:kern w:val="0"/>
          <w:sz w:val="32"/>
          <w:szCs w:val="32"/>
        </w:rPr>
        <w:t>全年粮食播种面积752.3万亩,比上年减少1.6万亩；亩产479.6公斤，比上年减少0.7公斤；总产360.8万吨，比上年减少1.4万吨。其中，夏粮播种面积363.2万亩，比上年减少1万亩；亩产393.7公斤，比上年增加0.2公斤；总产143万吨，比上年减少0.3万吨。秋粮播种面积389.1万亩，比上年减少0.6万亩；亩产559.8公斤，比上年减少1.7公斤；总产217.8万吨，比上年减少1万吨。</w:t>
      </w:r>
    </w:p>
    <w:p w:rsidR="008401F7" w:rsidRDefault="00840AB3" w:rsidP="009262F8">
      <w:pPr>
        <w:widowControl/>
        <w:shd w:val="clear" w:color="auto" w:fill="FFFFFF"/>
        <w:spacing w:before="100" w:beforeAutospacing="1" w:after="100" w:afterAutospacing="1" w:line="560" w:lineRule="exact"/>
        <w:ind w:firstLineChars="200" w:firstLine="640"/>
        <w:rPr>
          <w:rFonts w:ascii="仿宋_GB2312" w:eastAsia="仿宋_GB2312" w:hAnsi="仿宋" w:cs="仿宋"/>
          <w:color w:val="000000"/>
          <w:kern w:val="0"/>
          <w:sz w:val="32"/>
          <w:szCs w:val="32"/>
        </w:rPr>
      </w:pPr>
      <w:r w:rsidRPr="008401F7">
        <w:rPr>
          <w:rFonts w:ascii="楷体_GB2312" w:eastAsia="楷体_GB2312" w:hAnsi="宋体" w:cs="宋体" w:hint="eastAsia"/>
          <w:color w:val="000000"/>
          <w:kern w:val="0"/>
          <w:sz w:val="32"/>
          <w:szCs w:val="32"/>
        </w:rPr>
        <w:t>农业产业化水平</w:t>
      </w:r>
      <w:r w:rsidR="004D6786">
        <w:rPr>
          <w:rFonts w:ascii="楷体_GB2312" w:eastAsia="楷体_GB2312" w:hAnsi="宋体" w:cs="宋体" w:hint="eastAsia"/>
          <w:color w:val="000000"/>
          <w:kern w:val="0"/>
          <w:sz w:val="32"/>
          <w:szCs w:val="32"/>
        </w:rPr>
        <w:t>不断</w:t>
      </w:r>
      <w:r w:rsidRPr="008401F7">
        <w:rPr>
          <w:rFonts w:ascii="楷体_GB2312" w:eastAsia="楷体_GB2312" w:hAnsi="宋体" w:cs="宋体" w:hint="eastAsia"/>
          <w:color w:val="000000"/>
          <w:kern w:val="0"/>
          <w:sz w:val="32"/>
          <w:szCs w:val="32"/>
        </w:rPr>
        <w:t>提升。</w:t>
      </w:r>
      <w:r w:rsidRPr="005D03E1">
        <w:rPr>
          <w:rFonts w:ascii="仿宋_GB2312" w:eastAsia="仿宋_GB2312" w:hAnsi="仿宋" w:cs="仿宋" w:hint="eastAsia"/>
          <w:color w:val="000000"/>
          <w:kern w:val="0"/>
          <w:sz w:val="32"/>
          <w:szCs w:val="32"/>
        </w:rPr>
        <w:t>积极培育农业龙头企业，</w:t>
      </w:r>
      <w:r w:rsidR="00CE7DB5">
        <w:rPr>
          <w:rFonts w:ascii="仿宋_GB2312" w:eastAsia="仿宋_GB2312" w:hAnsi="仿宋" w:cs="仿宋" w:hint="eastAsia"/>
          <w:color w:val="000000"/>
          <w:kern w:val="0"/>
          <w:sz w:val="32"/>
          <w:szCs w:val="32"/>
        </w:rPr>
        <w:t>年末</w:t>
      </w:r>
      <w:r w:rsidRPr="005D03E1">
        <w:rPr>
          <w:rFonts w:ascii="仿宋_GB2312" w:eastAsia="仿宋_GB2312" w:hAnsi="仿宋" w:cs="仿宋" w:hint="eastAsia"/>
          <w:color w:val="000000"/>
          <w:kern w:val="0"/>
          <w:sz w:val="32"/>
          <w:szCs w:val="32"/>
        </w:rPr>
        <w:t>国家级农业产业化龙头企业达到2家，省级48家，市级180家，省级以上农业龙头企业实现销售收入250亿元，规模以上农产品加工企业产值1150亿元，与农业总产值之比达1.96。</w:t>
      </w:r>
    </w:p>
    <w:p w:rsidR="008401F7" w:rsidRDefault="00840AB3" w:rsidP="009262F8">
      <w:pPr>
        <w:widowControl/>
        <w:shd w:val="clear" w:color="auto" w:fill="FFFFFF"/>
        <w:spacing w:before="100" w:beforeAutospacing="1" w:after="100" w:afterAutospacing="1" w:line="560" w:lineRule="exact"/>
        <w:ind w:firstLineChars="200" w:firstLine="640"/>
        <w:rPr>
          <w:rFonts w:ascii="仿宋_GB2312" w:eastAsia="仿宋_GB2312" w:hAnsi="仿宋" w:cs="仿宋"/>
          <w:color w:val="000000"/>
          <w:kern w:val="0"/>
          <w:sz w:val="32"/>
          <w:szCs w:val="32"/>
        </w:rPr>
      </w:pPr>
      <w:r w:rsidRPr="008401F7">
        <w:rPr>
          <w:rFonts w:ascii="楷体_GB2312" w:eastAsia="楷体_GB2312" w:hAnsi="宋体" w:cs="宋体" w:hint="eastAsia"/>
          <w:color w:val="000000"/>
          <w:kern w:val="0"/>
          <w:sz w:val="32"/>
          <w:szCs w:val="32"/>
        </w:rPr>
        <w:t>高效设施农业扩面增效。</w:t>
      </w:r>
      <w:r w:rsidRPr="00BB3F85">
        <w:rPr>
          <w:rFonts w:ascii="仿宋_GB2312" w:eastAsia="仿宋_GB2312" w:hAnsi="仿宋" w:cs="仿宋" w:hint="eastAsia"/>
          <w:color w:val="000000"/>
          <w:kern w:val="0"/>
          <w:sz w:val="32"/>
          <w:szCs w:val="32"/>
        </w:rPr>
        <w:t>积极推进高效农业产业集聚区建设，重点抓好东海西甜瓜、灌云设施蔬菜、灌南食用菌、赣榆水果等8个千亩连片高效设施农业基地建设。全市新增高效设施农业面积7万亩，</w:t>
      </w:r>
      <w:r w:rsidR="008401F7" w:rsidRPr="00BB3F85">
        <w:rPr>
          <w:rFonts w:ascii="仿宋_GB2312" w:eastAsia="仿宋_GB2312" w:hAnsi="仿宋" w:cs="仿宋" w:hint="eastAsia"/>
          <w:color w:val="000000"/>
          <w:kern w:val="0"/>
          <w:sz w:val="32"/>
          <w:szCs w:val="32"/>
        </w:rPr>
        <w:t>建成7个省级万亩“菜篮子”工程蔬菜生产基地，面积达8.2万亩</w:t>
      </w:r>
      <w:r w:rsidR="008401F7">
        <w:rPr>
          <w:rFonts w:ascii="仿宋_GB2312" w:eastAsia="仿宋_GB2312" w:hAnsi="仿宋" w:cs="仿宋" w:hint="eastAsia"/>
          <w:color w:val="000000"/>
          <w:kern w:val="0"/>
          <w:sz w:val="32"/>
          <w:szCs w:val="32"/>
        </w:rPr>
        <w:t>；</w:t>
      </w:r>
      <w:r w:rsidRPr="00BB3F85">
        <w:rPr>
          <w:rFonts w:ascii="仿宋_GB2312" w:eastAsia="仿宋_GB2312" w:hAnsi="仿宋" w:cs="仿宋" w:hint="eastAsia"/>
          <w:color w:val="000000"/>
          <w:kern w:val="0"/>
          <w:sz w:val="32"/>
          <w:szCs w:val="32"/>
        </w:rPr>
        <w:t>东海县桃林镇北芹村获批全国“一村一品”示范村镇。</w:t>
      </w:r>
    </w:p>
    <w:p w:rsidR="008401F7" w:rsidRDefault="00840AB3" w:rsidP="009262F8">
      <w:pPr>
        <w:widowControl/>
        <w:shd w:val="clear" w:color="auto" w:fill="FFFFFF"/>
        <w:spacing w:before="100" w:beforeAutospacing="1" w:after="100" w:afterAutospacing="1" w:line="560" w:lineRule="exact"/>
        <w:ind w:firstLineChars="200" w:firstLine="640"/>
        <w:rPr>
          <w:rFonts w:ascii="仿宋_GB2312" w:eastAsia="仿宋_GB2312"/>
          <w:sz w:val="32"/>
          <w:szCs w:val="32"/>
        </w:rPr>
      </w:pPr>
      <w:r w:rsidRPr="008401F7">
        <w:rPr>
          <w:rFonts w:ascii="楷体_GB2312" w:eastAsia="楷体_GB2312" w:hAnsi="宋体" w:cs="宋体"/>
          <w:color w:val="000000"/>
          <w:kern w:val="0"/>
          <w:sz w:val="32"/>
          <w:szCs w:val="32"/>
        </w:rPr>
        <w:lastRenderedPageBreak/>
        <w:t>外向型农业</w:t>
      </w:r>
      <w:r w:rsidRPr="008401F7">
        <w:rPr>
          <w:rFonts w:ascii="楷体_GB2312" w:eastAsia="楷体_GB2312" w:hAnsi="宋体" w:cs="宋体" w:hint="eastAsia"/>
          <w:color w:val="000000"/>
          <w:kern w:val="0"/>
          <w:sz w:val="32"/>
          <w:szCs w:val="32"/>
        </w:rPr>
        <w:t>全省领先。</w:t>
      </w:r>
      <w:r w:rsidRPr="005D03E1">
        <w:rPr>
          <w:rFonts w:ascii="仿宋_GB2312" w:eastAsia="仿宋_GB2312" w:hAnsi="仿宋" w:cs="仿宋"/>
          <w:color w:val="000000"/>
          <w:kern w:val="0"/>
          <w:sz w:val="32"/>
          <w:szCs w:val="32"/>
        </w:rPr>
        <w:t>农业国际合作示范区</w:t>
      </w:r>
      <w:r w:rsidRPr="005D03E1">
        <w:rPr>
          <w:rFonts w:ascii="仿宋_GB2312" w:eastAsia="仿宋_GB2312" w:hAnsi="仿宋" w:cs="仿宋" w:hint="eastAsia"/>
          <w:color w:val="000000"/>
          <w:kern w:val="0"/>
          <w:sz w:val="32"/>
          <w:szCs w:val="32"/>
        </w:rPr>
        <w:t>全面</w:t>
      </w:r>
      <w:r w:rsidRPr="005D03E1">
        <w:rPr>
          <w:rFonts w:ascii="仿宋_GB2312" w:eastAsia="仿宋_GB2312" w:hAnsi="仿宋" w:cs="仿宋"/>
          <w:color w:val="000000"/>
          <w:kern w:val="0"/>
          <w:sz w:val="32"/>
          <w:szCs w:val="32"/>
        </w:rPr>
        <w:t>推进</w:t>
      </w:r>
      <w:r w:rsidRPr="005D03E1">
        <w:rPr>
          <w:rFonts w:ascii="仿宋_GB2312" w:eastAsia="仿宋_GB2312" w:hAnsi="仿宋" w:cs="仿宋" w:hint="eastAsia"/>
          <w:color w:val="000000"/>
          <w:kern w:val="0"/>
          <w:sz w:val="32"/>
          <w:szCs w:val="32"/>
        </w:rPr>
        <w:t>，国家地理标志保护产品</w:t>
      </w:r>
      <w:r w:rsidR="008401F7">
        <w:rPr>
          <w:rFonts w:ascii="仿宋_GB2312" w:eastAsia="仿宋_GB2312" w:hAnsi="仿宋" w:cs="仿宋" w:hint="eastAsia"/>
          <w:color w:val="000000"/>
          <w:kern w:val="0"/>
          <w:sz w:val="32"/>
          <w:szCs w:val="32"/>
        </w:rPr>
        <w:t>达</w:t>
      </w:r>
      <w:r w:rsidRPr="005D03E1">
        <w:rPr>
          <w:rFonts w:ascii="仿宋_GB2312" w:eastAsia="仿宋_GB2312" w:hAnsi="仿宋" w:cs="仿宋" w:hint="eastAsia"/>
          <w:color w:val="000000"/>
          <w:kern w:val="0"/>
          <w:sz w:val="32"/>
          <w:szCs w:val="32"/>
        </w:rPr>
        <w:t>10个。</w:t>
      </w:r>
      <w:r>
        <w:rPr>
          <w:rFonts w:ascii="仿宋_GB2312" w:eastAsia="仿宋_GB2312" w:hint="eastAsia"/>
          <w:sz w:val="32"/>
          <w:szCs w:val="32"/>
        </w:rPr>
        <w:t>农业“走出去”迈出坚实步伐，江苏海德益食品有限公司在柬埔寨投资5000万元建设热带作物种植农场，江苏雅仕保鲜投资1000万元在南非建设雪橙基地，</w:t>
      </w:r>
      <w:r>
        <w:rPr>
          <w:rFonts w:ascii="仿宋_GB2312" w:eastAsia="仿宋_GB2312"/>
          <w:sz w:val="32"/>
          <w:szCs w:val="32"/>
        </w:rPr>
        <w:t>连云港</w:t>
      </w:r>
      <w:r>
        <w:rPr>
          <w:rFonts w:ascii="仿宋_GB2312" w:eastAsia="仿宋_GB2312" w:hint="eastAsia"/>
          <w:sz w:val="32"/>
          <w:szCs w:val="32"/>
        </w:rPr>
        <w:t>驰神</w:t>
      </w:r>
      <w:r>
        <w:rPr>
          <w:rFonts w:ascii="仿宋_GB2312" w:eastAsia="仿宋_GB2312"/>
          <w:sz w:val="32"/>
          <w:szCs w:val="32"/>
        </w:rPr>
        <w:t>科技有限公司每年向韩国出口食用菌菌棒100余万株，并</w:t>
      </w:r>
      <w:r>
        <w:rPr>
          <w:rFonts w:ascii="仿宋_GB2312" w:eastAsia="仿宋_GB2312" w:hint="eastAsia"/>
          <w:sz w:val="32"/>
          <w:szCs w:val="32"/>
        </w:rPr>
        <w:t>投资300多万元在韩国成立公司组织食用菌种植生产。</w:t>
      </w:r>
    </w:p>
    <w:p w:rsidR="00840AB3" w:rsidRDefault="00840AB3" w:rsidP="009262F8">
      <w:pPr>
        <w:spacing w:line="560" w:lineRule="exact"/>
        <w:ind w:firstLineChars="200" w:firstLine="640"/>
        <w:rPr>
          <w:rFonts w:ascii="仿宋_GB2312" w:eastAsia="仿宋_GB2312"/>
          <w:sz w:val="32"/>
          <w:szCs w:val="32"/>
        </w:rPr>
      </w:pPr>
      <w:r w:rsidRPr="008401F7">
        <w:rPr>
          <w:rFonts w:ascii="楷体_GB2312" w:eastAsia="楷体_GB2312" w:hAnsi="宋体" w:cs="宋体"/>
          <w:color w:val="000000"/>
          <w:kern w:val="0"/>
          <w:sz w:val="32"/>
          <w:szCs w:val="32"/>
        </w:rPr>
        <w:t>休闲观光农业</w:t>
      </w:r>
      <w:r w:rsidRPr="008401F7">
        <w:rPr>
          <w:rFonts w:ascii="楷体_GB2312" w:eastAsia="楷体_GB2312" w:hAnsi="宋体" w:cs="宋体" w:hint="eastAsia"/>
          <w:color w:val="000000"/>
          <w:kern w:val="0"/>
          <w:sz w:val="32"/>
          <w:szCs w:val="32"/>
        </w:rPr>
        <w:t>快速</w:t>
      </w:r>
      <w:r w:rsidRPr="008401F7">
        <w:rPr>
          <w:rFonts w:ascii="楷体_GB2312" w:eastAsia="楷体_GB2312" w:hAnsi="宋体" w:cs="宋体"/>
          <w:color w:val="000000"/>
          <w:kern w:val="0"/>
          <w:sz w:val="32"/>
          <w:szCs w:val="32"/>
        </w:rPr>
        <w:t>发展</w:t>
      </w:r>
      <w:r w:rsidRPr="008401F7">
        <w:rPr>
          <w:rFonts w:ascii="楷体_GB2312" w:eastAsia="楷体_GB2312" w:hAnsi="宋体" w:cs="宋体" w:hint="eastAsia"/>
          <w:color w:val="000000"/>
          <w:kern w:val="0"/>
          <w:sz w:val="32"/>
          <w:szCs w:val="32"/>
        </w:rPr>
        <w:t>。</w:t>
      </w:r>
      <w:r w:rsidRPr="005D03E1">
        <w:rPr>
          <w:rFonts w:ascii="仿宋_GB2312" w:eastAsia="仿宋_GB2312" w:hAnsi="仿宋" w:cs="仿宋"/>
          <w:color w:val="000000"/>
          <w:kern w:val="0"/>
          <w:sz w:val="32"/>
          <w:szCs w:val="32"/>
        </w:rPr>
        <w:t>全</w:t>
      </w:r>
      <w:r w:rsidRPr="005D03E1">
        <w:rPr>
          <w:rFonts w:ascii="仿宋_GB2312" w:eastAsia="仿宋_GB2312" w:hAnsi="仿宋" w:cs="仿宋" w:hint="eastAsia"/>
          <w:color w:val="000000"/>
          <w:kern w:val="0"/>
          <w:sz w:val="32"/>
          <w:szCs w:val="32"/>
        </w:rPr>
        <w:t>年新增全国休闲农业与乡村旅游星级企业4家，其中五星级1家，四星级1家，三星级2家，</w:t>
      </w:r>
      <w:r w:rsidR="008401F7" w:rsidRPr="005D03E1">
        <w:rPr>
          <w:rFonts w:ascii="仿宋_GB2312" w:eastAsia="仿宋_GB2312" w:hAnsi="仿宋" w:cs="仿宋" w:hint="eastAsia"/>
          <w:color w:val="000000"/>
          <w:kern w:val="0"/>
          <w:sz w:val="32"/>
          <w:szCs w:val="32"/>
        </w:rPr>
        <w:t>累计</w:t>
      </w:r>
      <w:r w:rsidRPr="005D03E1">
        <w:rPr>
          <w:rFonts w:ascii="仿宋_GB2312" w:eastAsia="仿宋_GB2312" w:hAnsi="仿宋" w:cs="仿宋" w:hint="eastAsia"/>
          <w:color w:val="000000"/>
          <w:kern w:val="0"/>
          <w:sz w:val="32"/>
          <w:szCs w:val="32"/>
        </w:rPr>
        <w:t>分别</w:t>
      </w:r>
      <w:r w:rsidR="008401F7">
        <w:rPr>
          <w:rFonts w:ascii="仿宋_GB2312" w:eastAsia="仿宋_GB2312" w:hAnsi="仿宋" w:cs="仿宋" w:hint="eastAsia"/>
          <w:color w:val="000000"/>
          <w:kern w:val="0"/>
          <w:sz w:val="32"/>
          <w:szCs w:val="32"/>
        </w:rPr>
        <w:t>为</w:t>
      </w:r>
      <w:r w:rsidRPr="005D03E1">
        <w:rPr>
          <w:rFonts w:ascii="仿宋_GB2312" w:eastAsia="仿宋_GB2312" w:hAnsi="仿宋" w:cs="仿宋" w:hint="eastAsia"/>
          <w:color w:val="000000"/>
          <w:kern w:val="0"/>
          <w:sz w:val="32"/>
          <w:szCs w:val="32"/>
        </w:rPr>
        <w:t>1家、2家、7家。新建省级休闲观光农业示范村2个，累计</w:t>
      </w:r>
      <w:r w:rsidR="008401F7">
        <w:rPr>
          <w:rFonts w:ascii="仿宋_GB2312" w:eastAsia="仿宋_GB2312" w:hAnsi="仿宋" w:cs="仿宋" w:hint="eastAsia"/>
          <w:color w:val="000000"/>
          <w:kern w:val="0"/>
          <w:sz w:val="32"/>
          <w:szCs w:val="32"/>
        </w:rPr>
        <w:t>为</w:t>
      </w:r>
      <w:r w:rsidRPr="005D03E1">
        <w:rPr>
          <w:rFonts w:ascii="仿宋_GB2312" w:eastAsia="仿宋_GB2312" w:hAnsi="仿宋" w:cs="仿宋" w:hint="eastAsia"/>
          <w:color w:val="000000"/>
          <w:kern w:val="0"/>
          <w:sz w:val="32"/>
          <w:szCs w:val="32"/>
        </w:rPr>
        <w:t>9个。新建市级休闲观光农业示范村20个，累计</w:t>
      </w:r>
      <w:r w:rsidR="008401F7">
        <w:rPr>
          <w:rFonts w:ascii="仿宋_GB2312" w:eastAsia="仿宋_GB2312" w:hAnsi="仿宋" w:cs="仿宋" w:hint="eastAsia"/>
          <w:color w:val="000000"/>
          <w:kern w:val="0"/>
          <w:sz w:val="32"/>
          <w:szCs w:val="32"/>
        </w:rPr>
        <w:t>为</w:t>
      </w:r>
      <w:r w:rsidRPr="005D03E1">
        <w:rPr>
          <w:rFonts w:ascii="仿宋_GB2312" w:eastAsia="仿宋_GB2312" w:hAnsi="仿宋" w:cs="仿宋" w:hint="eastAsia"/>
          <w:color w:val="000000"/>
          <w:kern w:val="0"/>
          <w:sz w:val="32"/>
          <w:szCs w:val="32"/>
        </w:rPr>
        <w:t>50个。</w:t>
      </w:r>
      <w:r w:rsidRPr="005D03E1">
        <w:rPr>
          <w:rFonts w:ascii="仿宋_GB2312" w:eastAsia="仿宋_GB2312" w:hAnsi="仿宋" w:cs="仿宋"/>
          <w:color w:val="000000"/>
          <w:kern w:val="0"/>
          <w:sz w:val="32"/>
          <w:szCs w:val="32"/>
        </w:rPr>
        <w:t>各类休闲观光农业经营主体</w:t>
      </w:r>
      <w:r w:rsidRPr="005D03E1">
        <w:rPr>
          <w:rFonts w:ascii="仿宋_GB2312" w:eastAsia="仿宋_GB2312" w:hAnsi="仿宋" w:cs="仿宋" w:hint="eastAsia"/>
          <w:color w:val="000000"/>
          <w:kern w:val="0"/>
          <w:sz w:val="32"/>
          <w:szCs w:val="32"/>
        </w:rPr>
        <w:t>达</w:t>
      </w:r>
      <w:r w:rsidRPr="005D03E1">
        <w:rPr>
          <w:rFonts w:ascii="仿宋_GB2312" w:eastAsia="仿宋_GB2312" w:hAnsi="仿宋" w:cs="仿宋"/>
          <w:color w:val="000000"/>
          <w:kern w:val="0"/>
          <w:sz w:val="32"/>
          <w:szCs w:val="32"/>
        </w:rPr>
        <w:t>200多个</w:t>
      </w:r>
      <w:r w:rsidRPr="005D03E1">
        <w:rPr>
          <w:rFonts w:ascii="仿宋_GB2312" w:eastAsia="仿宋_GB2312" w:hAnsi="仿宋" w:cs="仿宋" w:hint="eastAsia"/>
          <w:color w:val="000000"/>
          <w:kern w:val="0"/>
          <w:sz w:val="32"/>
          <w:szCs w:val="32"/>
        </w:rPr>
        <w:t>。</w:t>
      </w:r>
    </w:p>
    <w:p w:rsidR="00B74B05" w:rsidRPr="00B74B05" w:rsidRDefault="00B74B05" w:rsidP="009262F8">
      <w:pPr>
        <w:widowControl/>
        <w:shd w:val="clear" w:color="auto" w:fill="FFFFFF"/>
        <w:spacing w:before="100" w:beforeAutospacing="1" w:after="100" w:afterAutospacing="1" w:line="560" w:lineRule="exact"/>
        <w:ind w:firstLineChars="200" w:firstLine="640"/>
        <w:rPr>
          <w:rFonts w:ascii="宋体" w:eastAsia="宋体" w:hAnsi="宋体" w:cs="宋体"/>
          <w:color w:val="353535"/>
          <w:kern w:val="0"/>
          <w:sz w:val="24"/>
          <w:szCs w:val="24"/>
        </w:rPr>
      </w:pPr>
      <w:r w:rsidRPr="00B74B05">
        <w:rPr>
          <w:rFonts w:ascii="Times New Roman" w:eastAsia="黑体" w:hAnsi="黑体" w:cs="宋体" w:hint="eastAsia"/>
          <w:color w:val="000000"/>
          <w:kern w:val="0"/>
          <w:sz w:val="32"/>
          <w:szCs w:val="32"/>
        </w:rPr>
        <w:t>三、工业和建筑业</w:t>
      </w:r>
    </w:p>
    <w:p w:rsidR="00AC5EEC" w:rsidRDefault="00B74B05" w:rsidP="009262F8">
      <w:pPr>
        <w:shd w:val="clear" w:color="auto" w:fill="FFFFFF"/>
        <w:spacing w:before="100" w:beforeAutospacing="1" w:after="100" w:afterAutospacing="1" w:line="560" w:lineRule="exact"/>
        <w:ind w:firstLineChars="200" w:firstLine="640"/>
        <w:rPr>
          <w:rFonts w:ascii="仿宋_GB2312" w:eastAsia="仿宋_GB2312"/>
          <w:color w:val="000000"/>
          <w:sz w:val="32"/>
          <w:szCs w:val="32"/>
        </w:rPr>
      </w:pPr>
      <w:r w:rsidRPr="00B74B05">
        <w:rPr>
          <w:rFonts w:ascii="楷体_GB2312" w:eastAsia="楷体_GB2312" w:hAnsi="宋体" w:cs="宋体" w:hint="eastAsia"/>
          <w:color w:val="000000"/>
          <w:kern w:val="0"/>
          <w:sz w:val="32"/>
          <w:szCs w:val="32"/>
        </w:rPr>
        <w:t>工业</w:t>
      </w:r>
      <w:r w:rsidR="008651D9">
        <w:rPr>
          <w:rFonts w:ascii="楷体_GB2312" w:eastAsia="楷体_GB2312" w:hAnsi="宋体" w:cs="宋体" w:hint="eastAsia"/>
          <w:color w:val="000000"/>
          <w:kern w:val="0"/>
          <w:sz w:val="32"/>
          <w:szCs w:val="32"/>
        </w:rPr>
        <w:t>生产</w:t>
      </w:r>
      <w:r w:rsidR="00916E02" w:rsidRPr="00916E02">
        <w:rPr>
          <w:rFonts w:ascii="楷体_GB2312" w:eastAsia="楷体_GB2312" w:hAnsi="宋体" w:cs="宋体" w:hint="eastAsia"/>
          <w:color w:val="000000"/>
          <w:kern w:val="0"/>
          <w:sz w:val="32"/>
          <w:szCs w:val="32"/>
        </w:rPr>
        <w:t>总体平稳</w:t>
      </w:r>
      <w:r w:rsidRPr="00B74B05">
        <w:rPr>
          <w:rFonts w:ascii="楷体_GB2312" w:eastAsia="楷体_GB2312" w:hAnsi="宋体" w:cs="宋体" w:hint="eastAsia"/>
          <w:color w:val="000000"/>
          <w:kern w:val="0"/>
          <w:sz w:val="32"/>
          <w:szCs w:val="32"/>
        </w:rPr>
        <w:t>。</w:t>
      </w:r>
      <w:r w:rsidR="00916E02">
        <w:rPr>
          <w:rFonts w:ascii="仿宋_GB2312" w:eastAsia="仿宋_GB2312" w:hint="eastAsia"/>
          <w:color w:val="000000"/>
          <w:sz w:val="32"/>
          <w:szCs w:val="32"/>
        </w:rPr>
        <w:t>全市1694家规模以上工业企业实现总产值6225.87亿元，增长12.2%。其中，轻工业总产值1984.07亿元，增长17.3%，快于全市5.1个百分点；重工业总产值4241.80亿元，增长10.0%。</w:t>
      </w:r>
    </w:p>
    <w:p w:rsidR="00916E02" w:rsidRDefault="006512AB" w:rsidP="009262F8">
      <w:pPr>
        <w:shd w:val="clear" w:color="auto" w:fill="FFFFFF"/>
        <w:spacing w:before="100" w:beforeAutospacing="1" w:after="100" w:afterAutospacing="1" w:line="560" w:lineRule="exact"/>
        <w:ind w:firstLineChars="200" w:firstLine="640"/>
        <w:rPr>
          <w:rFonts w:ascii="仿宋_GB2312" w:eastAsia="仿宋_GB2312" w:hAnsi="宋体" w:cs="宋体"/>
          <w:color w:val="000000"/>
          <w:kern w:val="0"/>
          <w:sz w:val="32"/>
          <w:szCs w:val="32"/>
        </w:rPr>
      </w:pPr>
      <w:r w:rsidRPr="006512AB">
        <w:rPr>
          <w:rFonts w:ascii="楷体_GB2312" w:eastAsia="楷体_GB2312" w:hAnsi="宋体" w:cs="宋体" w:hint="eastAsia"/>
          <w:color w:val="000000"/>
          <w:kern w:val="0"/>
          <w:sz w:val="32"/>
          <w:szCs w:val="32"/>
        </w:rPr>
        <w:t>企业亏损面下降。</w:t>
      </w:r>
      <w:r>
        <w:rPr>
          <w:rFonts w:ascii="仿宋_GB2312" w:eastAsia="仿宋_GB2312" w:hAnsi="宋体" w:cs="宋体" w:hint="eastAsia"/>
          <w:color w:val="000000"/>
          <w:kern w:val="0"/>
          <w:sz w:val="32"/>
          <w:szCs w:val="32"/>
        </w:rPr>
        <w:t>规模以上工业企业实现产品销售收入6051.58亿元，增长12.4%。</w:t>
      </w:r>
      <w:r w:rsidR="00916E02" w:rsidRPr="00916E02">
        <w:rPr>
          <w:rFonts w:ascii="仿宋_GB2312" w:eastAsia="仿宋_GB2312" w:hAnsi="宋体" w:cs="宋体" w:hint="eastAsia"/>
          <w:color w:val="000000"/>
          <w:kern w:val="0"/>
          <w:sz w:val="32"/>
          <w:szCs w:val="32"/>
        </w:rPr>
        <w:t>实现利润总额465.17亿元</w:t>
      </w:r>
      <w:r w:rsidR="00916E02">
        <w:rPr>
          <w:rFonts w:ascii="仿宋_GB2312" w:eastAsia="仿宋_GB2312" w:hAnsi="宋体" w:cs="宋体" w:hint="eastAsia"/>
          <w:color w:val="000000"/>
          <w:kern w:val="0"/>
          <w:sz w:val="32"/>
          <w:szCs w:val="32"/>
        </w:rPr>
        <w:t>，</w:t>
      </w:r>
      <w:r w:rsidR="00916E02" w:rsidRPr="00916E02">
        <w:rPr>
          <w:rFonts w:ascii="仿宋_GB2312" w:eastAsia="仿宋_GB2312" w:hAnsi="宋体" w:cs="宋体" w:hint="eastAsia"/>
          <w:color w:val="000000"/>
          <w:kern w:val="0"/>
          <w:sz w:val="32"/>
          <w:szCs w:val="32"/>
        </w:rPr>
        <w:t>增长10.0%，利润率为7.7%。亏损企业114家，</w:t>
      </w:r>
      <w:r w:rsidR="00916E02">
        <w:rPr>
          <w:rFonts w:ascii="仿宋_GB2312" w:eastAsia="仿宋_GB2312" w:hAnsi="宋体" w:cs="宋体" w:hint="eastAsia"/>
          <w:color w:val="000000"/>
          <w:kern w:val="0"/>
          <w:sz w:val="32"/>
          <w:szCs w:val="32"/>
        </w:rPr>
        <w:t>比上年</w:t>
      </w:r>
      <w:r w:rsidR="00916E02" w:rsidRPr="00916E02">
        <w:rPr>
          <w:rFonts w:ascii="仿宋_GB2312" w:eastAsia="仿宋_GB2312" w:hAnsi="宋体" w:cs="宋体" w:hint="eastAsia"/>
          <w:color w:val="000000"/>
          <w:kern w:val="0"/>
          <w:sz w:val="32"/>
          <w:szCs w:val="32"/>
        </w:rPr>
        <w:t>减少31家</w:t>
      </w:r>
      <w:r w:rsidR="00916E02">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下降21.4%；</w:t>
      </w:r>
      <w:r w:rsidR="004D6786">
        <w:rPr>
          <w:rFonts w:ascii="仿宋_GB2312" w:eastAsia="仿宋_GB2312" w:hAnsi="宋体" w:cs="宋体" w:hint="eastAsia"/>
          <w:color w:val="000000"/>
          <w:kern w:val="0"/>
          <w:sz w:val="32"/>
          <w:szCs w:val="32"/>
        </w:rPr>
        <w:t>亏损企业</w:t>
      </w:r>
      <w:r w:rsidR="00916E02" w:rsidRPr="00916E02">
        <w:rPr>
          <w:rFonts w:ascii="仿宋_GB2312" w:eastAsia="仿宋_GB2312" w:hAnsi="宋体" w:cs="宋体" w:hint="eastAsia"/>
          <w:color w:val="000000"/>
          <w:kern w:val="0"/>
          <w:sz w:val="32"/>
          <w:szCs w:val="32"/>
        </w:rPr>
        <w:t>亏损额10.05亿元，增长15.7%。</w:t>
      </w:r>
    </w:p>
    <w:p w:rsidR="00916E02" w:rsidRPr="00916E02" w:rsidRDefault="00916E02" w:rsidP="009262F8">
      <w:pPr>
        <w:widowControl/>
        <w:shd w:val="clear" w:color="auto" w:fill="FFFFFF"/>
        <w:spacing w:before="100" w:beforeAutospacing="1" w:after="100" w:afterAutospacing="1" w:line="560" w:lineRule="exact"/>
        <w:ind w:firstLine="645"/>
        <w:rPr>
          <w:rFonts w:ascii="宋体" w:eastAsia="宋体" w:hAnsi="宋体" w:cs="宋体"/>
          <w:color w:val="353535"/>
          <w:kern w:val="0"/>
          <w:sz w:val="24"/>
          <w:szCs w:val="24"/>
        </w:rPr>
      </w:pPr>
      <w:r w:rsidRPr="00916E02">
        <w:rPr>
          <w:rFonts w:ascii="楷体_GB2312" w:eastAsia="楷体_GB2312" w:hAnsi="宋体" w:cs="宋体" w:hint="eastAsia"/>
          <w:color w:val="000000"/>
          <w:kern w:val="0"/>
          <w:sz w:val="32"/>
          <w:szCs w:val="32"/>
        </w:rPr>
        <w:lastRenderedPageBreak/>
        <w:t>小微企业经营向好。</w:t>
      </w:r>
      <w:r w:rsidRPr="00916E02">
        <w:rPr>
          <w:rFonts w:ascii="仿宋_GB2312" w:eastAsia="仿宋_GB2312" w:hAnsi="宋体" w:cs="宋体" w:hint="eastAsia"/>
          <w:color w:val="000000"/>
          <w:kern w:val="0"/>
          <w:sz w:val="32"/>
          <w:szCs w:val="32"/>
        </w:rPr>
        <w:t>全市1552家企业</w:t>
      </w:r>
      <w:r w:rsidR="000E3004" w:rsidRPr="00916E02">
        <w:rPr>
          <w:rFonts w:ascii="仿宋_GB2312" w:eastAsia="仿宋_GB2312" w:hAnsi="宋体" w:cs="宋体" w:hint="eastAsia"/>
          <w:color w:val="000000"/>
          <w:kern w:val="0"/>
          <w:sz w:val="32"/>
          <w:szCs w:val="32"/>
        </w:rPr>
        <w:t>规模以上小微企业</w:t>
      </w:r>
      <w:r w:rsidRPr="00916E02">
        <w:rPr>
          <w:rFonts w:ascii="仿宋_GB2312" w:eastAsia="仿宋_GB2312" w:hAnsi="宋体" w:cs="宋体" w:hint="eastAsia"/>
          <w:color w:val="000000"/>
          <w:kern w:val="0"/>
          <w:sz w:val="32"/>
          <w:szCs w:val="32"/>
        </w:rPr>
        <w:t>实现</w:t>
      </w:r>
      <w:r w:rsidR="000E3004">
        <w:rPr>
          <w:rFonts w:ascii="仿宋_GB2312" w:eastAsia="仿宋_GB2312" w:hAnsi="宋体" w:cs="宋体" w:hint="eastAsia"/>
          <w:color w:val="000000"/>
          <w:kern w:val="0"/>
          <w:sz w:val="32"/>
          <w:szCs w:val="32"/>
        </w:rPr>
        <w:t>总</w:t>
      </w:r>
      <w:r w:rsidRPr="00916E02">
        <w:rPr>
          <w:rFonts w:ascii="仿宋_GB2312" w:eastAsia="仿宋_GB2312" w:hAnsi="宋体" w:cs="宋体" w:hint="eastAsia"/>
          <w:color w:val="000000"/>
          <w:kern w:val="0"/>
          <w:sz w:val="32"/>
          <w:szCs w:val="32"/>
        </w:rPr>
        <w:t>产值2790.57亿元，增长19.1%，高于全市平均水平6.9个百分点，对全市工业生产增长的贡献率为66.2%，拉动全市工业生产增长8.1个百分点。142家大中型企业</w:t>
      </w:r>
      <w:r w:rsidR="000E3004">
        <w:rPr>
          <w:rFonts w:ascii="仿宋_GB2312" w:eastAsia="仿宋_GB2312" w:hAnsi="宋体" w:cs="宋体" w:hint="eastAsia"/>
          <w:color w:val="000000"/>
          <w:kern w:val="0"/>
          <w:sz w:val="32"/>
          <w:szCs w:val="32"/>
        </w:rPr>
        <w:t>总</w:t>
      </w:r>
      <w:r w:rsidRPr="00916E02">
        <w:rPr>
          <w:rFonts w:ascii="仿宋_GB2312" w:eastAsia="仿宋_GB2312" w:hAnsi="宋体" w:cs="宋体" w:hint="eastAsia"/>
          <w:color w:val="000000"/>
          <w:kern w:val="0"/>
          <w:sz w:val="32"/>
          <w:szCs w:val="32"/>
        </w:rPr>
        <w:t>产值增</w:t>
      </w:r>
      <w:r w:rsidR="000E3004">
        <w:rPr>
          <w:rFonts w:ascii="仿宋_GB2312" w:eastAsia="仿宋_GB2312" w:hAnsi="宋体" w:cs="宋体" w:hint="eastAsia"/>
          <w:color w:val="000000"/>
          <w:kern w:val="0"/>
          <w:sz w:val="32"/>
          <w:szCs w:val="32"/>
        </w:rPr>
        <w:t>长</w:t>
      </w:r>
      <w:r w:rsidRPr="00916E02">
        <w:rPr>
          <w:rFonts w:ascii="仿宋_GB2312" w:eastAsia="仿宋_GB2312" w:hAnsi="宋体" w:cs="宋体" w:hint="eastAsia"/>
          <w:color w:val="000000"/>
          <w:kern w:val="0"/>
          <w:sz w:val="32"/>
          <w:szCs w:val="32"/>
        </w:rPr>
        <w:t xml:space="preserve">7.1%，对全市工业生产增长的贡献率为33.8%，拉动全市工业生产增长4.1个百分点。 </w:t>
      </w:r>
    </w:p>
    <w:p w:rsidR="00B74B05" w:rsidRPr="00B74B05" w:rsidRDefault="00B74B05" w:rsidP="009262F8">
      <w:pPr>
        <w:widowControl/>
        <w:shd w:val="clear" w:color="auto" w:fill="FFFFFF"/>
        <w:spacing w:before="100" w:beforeAutospacing="1" w:after="100" w:afterAutospacing="1" w:line="560" w:lineRule="exact"/>
        <w:ind w:firstLineChars="200" w:firstLine="640"/>
        <w:rPr>
          <w:rFonts w:ascii="宋体" w:eastAsia="宋体" w:hAnsi="宋体" w:cs="宋体"/>
          <w:color w:val="353535"/>
          <w:kern w:val="0"/>
          <w:sz w:val="24"/>
          <w:szCs w:val="24"/>
        </w:rPr>
      </w:pPr>
      <w:r w:rsidRPr="00B74B05">
        <w:rPr>
          <w:rFonts w:ascii="楷体_GB2312" w:eastAsia="楷体_GB2312" w:hAnsi="宋体" w:cs="宋体" w:hint="eastAsia"/>
          <w:color w:val="000000"/>
          <w:kern w:val="0"/>
          <w:sz w:val="32"/>
          <w:szCs w:val="32"/>
        </w:rPr>
        <w:t>建筑业</w:t>
      </w:r>
      <w:r w:rsidR="000E3004">
        <w:rPr>
          <w:rFonts w:ascii="楷体_GB2312" w:eastAsia="楷体_GB2312" w:hAnsi="宋体" w:cs="宋体" w:hint="eastAsia"/>
          <w:color w:val="000000"/>
          <w:kern w:val="0"/>
          <w:sz w:val="32"/>
          <w:szCs w:val="32"/>
        </w:rPr>
        <w:t>平稳</w:t>
      </w:r>
      <w:r w:rsidRPr="00B74B05">
        <w:rPr>
          <w:rFonts w:ascii="楷体_GB2312" w:eastAsia="楷体_GB2312" w:hAnsi="宋体" w:cs="宋体" w:hint="eastAsia"/>
          <w:color w:val="000000"/>
          <w:kern w:val="0"/>
          <w:sz w:val="32"/>
          <w:szCs w:val="32"/>
        </w:rPr>
        <w:t>发展。</w:t>
      </w:r>
      <w:r w:rsidR="000E3004" w:rsidRPr="000E3004">
        <w:rPr>
          <w:rFonts w:ascii="仿宋_GB2312" w:eastAsia="仿宋_GB2312" w:hAnsi="宋体" w:cs="宋体" w:hint="eastAsia"/>
          <w:color w:val="353535"/>
          <w:kern w:val="0"/>
          <w:sz w:val="32"/>
          <w:szCs w:val="32"/>
        </w:rPr>
        <w:t>全年完成建筑业总产值648.73 亿元，增长3.0%。</w:t>
      </w:r>
      <w:r w:rsidR="001872D1">
        <w:rPr>
          <w:rFonts w:ascii="仿宋_GB2312" w:eastAsia="仿宋_GB2312" w:hAnsi="宋体" w:cs="宋体" w:hint="eastAsia"/>
          <w:color w:val="000000"/>
          <w:kern w:val="0"/>
          <w:sz w:val="32"/>
          <w:szCs w:val="32"/>
        </w:rPr>
        <w:t>其中，</w:t>
      </w:r>
      <w:r w:rsidR="000E3004" w:rsidRPr="000E3004">
        <w:rPr>
          <w:rFonts w:ascii="仿宋_GB2312" w:eastAsia="仿宋_GB2312" w:hAnsi="宋体" w:cs="宋体" w:hint="eastAsia"/>
          <w:color w:val="353535"/>
          <w:kern w:val="0"/>
          <w:sz w:val="32"/>
          <w:szCs w:val="32"/>
        </w:rPr>
        <w:t>房屋建筑工程</w:t>
      </w:r>
      <w:r w:rsidR="001872D1">
        <w:rPr>
          <w:rFonts w:ascii="仿宋_GB2312" w:eastAsia="仿宋_GB2312" w:hAnsi="宋体" w:cs="宋体" w:hint="eastAsia"/>
          <w:color w:val="353535"/>
          <w:kern w:val="0"/>
          <w:sz w:val="32"/>
          <w:szCs w:val="32"/>
        </w:rPr>
        <w:t>总</w:t>
      </w:r>
      <w:r w:rsidR="000E3004" w:rsidRPr="000E3004">
        <w:rPr>
          <w:rFonts w:ascii="仿宋_GB2312" w:eastAsia="仿宋_GB2312" w:hAnsi="宋体" w:cs="宋体" w:hint="eastAsia"/>
          <w:color w:val="353535"/>
          <w:kern w:val="0"/>
          <w:sz w:val="32"/>
          <w:szCs w:val="32"/>
        </w:rPr>
        <w:t>产值600.74亿元，增长2.2%；安装工程</w:t>
      </w:r>
      <w:r w:rsidR="001872D1">
        <w:rPr>
          <w:rFonts w:ascii="仿宋_GB2312" w:eastAsia="仿宋_GB2312" w:hAnsi="宋体" w:cs="宋体" w:hint="eastAsia"/>
          <w:color w:val="353535"/>
          <w:kern w:val="0"/>
          <w:sz w:val="32"/>
          <w:szCs w:val="32"/>
        </w:rPr>
        <w:t>总</w:t>
      </w:r>
      <w:r w:rsidR="000E3004" w:rsidRPr="000E3004">
        <w:rPr>
          <w:rFonts w:ascii="仿宋_GB2312" w:eastAsia="仿宋_GB2312" w:hAnsi="宋体" w:cs="宋体" w:hint="eastAsia"/>
          <w:color w:val="353535"/>
          <w:kern w:val="0"/>
          <w:sz w:val="32"/>
          <w:szCs w:val="32"/>
        </w:rPr>
        <w:t>产值47.99亿元，增长17.4%。资质以上建筑业企业房屋施工面积5309.1万平方米</w:t>
      </w:r>
      <w:r w:rsidR="001872D1">
        <w:rPr>
          <w:rFonts w:ascii="仿宋_GB2312" w:eastAsia="仿宋_GB2312" w:hAnsi="宋体" w:cs="宋体" w:hint="eastAsia"/>
          <w:color w:val="353535"/>
          <w:kern w:val="0"/>
          <w:sz w:val="32"/>
          <w:szCs w:val="32"/>
        </w:rPr>
        <w:t>，与上年基本持平；</w:t>
      </w:r>
      <w:r w:rsidR="000E3004" w:rsidRPr="000E3004">
        <w:rPr>
          <w:rFonts w:ascii="仿宋_GB2312" w:eastAsia="仿宋_GB2312" w:hAnsi="宋体" w:cs="宋体" w:hint="eastAsia"/>
          <w:color w:val="353535"/>
          <w:kern w:val="0"/>
          <w:sz w:val="32"/>
          <w:szCs w:val="32"/>
        </w:rPr>
        <w:t>房屋竣工面积2306.1万平方米，增长10.6%。</w:t>
      </w:r>
    </w:p>
    <w:p w:rsidR="00B74B05" w:rsidRPr="00B74B05" w:rsidRDefault="00B74B05" w:rsidP="009262F8">
      <w:pPr>
        <w:widowControl/>
        <w:shd w:val="clear" w:color="auto" w:fill="FFFFFF"/>
        <w:spacing w:before="100" w:beforeAutospacing="1" w:after="100" w:afterAutospacing="1" w:line="560" w:lineRule="exact"/>
        <w:ind w:firstLineChars="200" w:firstLine="640"/>
        <w:rPr>
          <w:rFonts w:ascii="宋体" w:eastAsia="宋体" w:hAnsi="宋体" w:cs="宋体"/>
          <w:color w:val="353535"/>
          <w:kern w:val="0"/>
          <w:sz w:val="24"/>
          <w:szCs w:val="24"/>
        </w:rPr>
      </w:pPr>
      <w:r w:rsidRPr="00B74B05">
        <w:rPr>
          <w:rFonts w:ascii="Times New Roman" w:eastAsia="黑体" w:hAnsi="黑体" w:cs="宋体" w:hint="eastAsia"/>
          <w:color w:val="000000"/>
          <w:kern w:val="0"/>
          <w:sz w:val="32"/>
          <w:szCs w:val="32"/>
        </w:rPr>
        <w:t>四、固定资产投资</w:t>
      </w:r>
    </w:p>
    <w:p w:rsidR="00B74B05" w:rsidRPr="00C86179" w:rsidRDefault="00B74B05" w:rsidP="009262F8">
      <w:pPr>
        <w:widowControl/>
        <w:shd w:val="clear" w:color="auto" w:fill="FFFFFF"/>
        <w:spacing w:before="100" w:beforeAutospacing="1" w:after="100" w:afterAutospacing="1" w:line="560" w:lineRule="exact"/>
        <w:ind w:firstLineChars="200" w:firstLine="640"/>
        <w:rPr>
          <w:rFonts w:ascii="仿宋_GB2312" w:eastAsia="仿宋_GB2312" w:hAnsi="宋体" w:cs="宋体"/>
          <w:color w:val="353535"/>
          <w:kern w:val="0"/>
          <w:sz w:val="24"/>
          <w:szCs w:val="24"/>
        </w:rPr>
      </w:pPr>
      <w:r w:rsidRPr="00B74B05">
        <w:rPr>
          <w:rFonts w:ascii="楷体_GB2312" w:eastAsia="楷体_GB2312" w:hAnsi="宋体" w:cs="宋体" w:hint="eastAsia"/>
          <w:color w:val="000000"/>
          <w:kern w:val="0"/>
          <w:sz w:val="32"/>
          <w:szCs w:val="32"/>
        </w:rPr>
        <w:t>投资总量不断扩大。</w:t>
      </w:r>
      <w:r w:rsidR="001872D1" w:rsidRPr="00C86179">
        <w:rPr>
          <w:rFonts w:ascii="仿宋_GB2312" w:eastAsia="仿宋_GB2312" w:hAnsi="宋体" w:cs="宋体" w:hint="eastAsia"/>
          <w:color w:val="000000"/>
          <w:kern w:val="0"/>
          <w:sz w:val="32"/>
          <w:szCs w:val="32"/>
        </w:rPr>
        <w:t>全年</w:t>
      </w:r>
      <w:r w:rsidR="001872D1" w:rsidRPr="00C86179">
        <w:rPr>
          <w:rFonts w:ascii="仿宋_GB2312" w:eastAsia="仿宋_GB2312" w:hint="eastAsia"/>
          <w:color w:val="000000"/>
          <w:sz w:val="32"/>
          <w:szCs w:val="32"/>
        </w:rPr>
        <w:t>完成固定资产投资</w:t>
      </w:r>
      <w:r w:rsidR="00D6730E">
        <w:rPr>
          <w:rFonts w:ascii="仿宋_GB2312" w:eastAsia="仿宋_GB2312" w:hint="eastAsia"/>
          <w:color w:val="000000"/>
          <w:sz w:val="32"/>
          <w:szCs w:val="32"/>
        </w:rPr>
        <w:t>2385.16</w:t>
      </w:r>
      <w:r w:rsidR="001872D1" w:rsidRPr="00C86179">
        <w:rPr>
          <w:rFonts w:ascii="仿宋_GB2312" w:eastAsia="仿宋_GB2312" w:hint="eastAsia"/>
          <w:color w:val="000000"/>
          <w:sz w:val="32"/>
          <w:szCs w:val="32"/>
        </w:rPr>
        <w:t>亿元，增长14.8%。其中，工业投资1487.3</w:t>
      </w:r>
      <w:r w:rsidR="00D6730E">
        <w:rPr>
          <w:rFonts w:ascii="仿宋_GB2312" w:eastAsia="仿宋_GB2312" w:hint="eastAsia"/>
          <w:color w:val="000000"/>
          <w:sz w:val="32"/>
          <w:szCs w:val="32"/>
        </w:rPr>
        <w:t>4</w:t>
      </w:r>
      <w:r w:rsidR="001872D1" w:rsidRPr="00C86179">
        <w:rPr>
          <w:rFonts w:ascii="仿宋_GB2312" w:eastAsia="仿宋_GB2312" w:hint="eastAsia"/>
          <w:color w:val="000000"/>
          <w:sz w:val="32"/>
          <w:szCs w:val="32"/>
        </w:rPr>
        <w:t>亿元，增长17.5%；服务业投资850.3</w:t>
      </w:r>
      <w:r w:rsidR="00D6730E">
        <w:rPr>
          <w:rFonts w:ascii="仿宋_GB2312" w:eastAsia="仿宋_GB2312" w:hint="eastAsia"/>
          <w:color w:val="000000"/>
          <w:sz w:val="32"/>
          <w:szCs w:val="32"/>
        </w:rPr>
        <w:t>5</w:t>
      </w:r>
      <w:r w:rsidR="001872D1" w:rsidRPr="00C86179">
        <w:rPr>
          <w:rFonts w:ascii="仿宋_GB2312" w:eastAsia="仿宋_GB2312" w:hint="eastAsia"/>
          <w:color w:val="000000"/>
          <w:sz w:val="32"/>
          <w:szCs w:val="32"/>
        </w:rPr>
        <w:t>亿元，增长8.2%；房地产开发投资235.4</w:t>
      </w:r>
      <w:r w:rsidR="00D6730E">
        <w:rPr>
          <w:rFonts w:ascii="仿宋_GB2312" w:eastAsia="仿宋_GB2312" w:hint="eastAsia"/>
          <w:color w:val="000000"/>
          <w:sz w:val="32"/>
          <w:szCs w:val="32"/>
        </w:rPr>
        <w:t>1</w:t>
      </w:r>
      <w:r w:rsidR="001872D1" w:rsidRPr="00C86179">
        <w:rPr>
          <w:rFonts w:ascii="仿宋_GB2312" w:eastAsia="仿宋_GB2312" w:hint="eastAsia"/>
          <w:color w:val="000000"/>
          <w:sz w:val="32"/>
          <w:szCs w:val="32"/>
        </w:rPr>
        <w:t>亿元，增长14.6%。</w:t>
      </w:r>
    </w:p>
    <w:p w:rsidR="001872D1" w:rsidRPr="001872D1" w:rsidRDefault="001872D1" w:rsidP="009262F8">
      <w:pPr>
        <w:widowControl/>
        <w:shd w:val="clear" w:color="auto" w:fill="FFFFFF"/>
        <w:spacing w:before="100" w:beforeAutospacing="1" w:after="100" w:afterAutospacing="1" w:line="560" w:lineRule="exact"/>
        <w:ind w:firstLineChars="200" w:firstLine="640"/>
        <w:rPr>
          <w:rFonts w:ascii="宋体" w:eastAsia="宋体" w:hAnsi="宋体" w:cs="宋体"/>
          <w:color w:val="353535"/>
          <w:kern w:val="0"/>
          <w:sz w:val="24"/>
          <w:szCs w:val="24"/>
        </w:rPr>
      </w:pPr>
      <w:r w:rsidRPr="001872D1">
        <w:rPr>
          <w:rFonts w:ascii="楷体_GB2312" w:eastAsia="楷体_GB2312" w:hAnsi="华文宋体" w:cs="宋体" w:hint="eastAsia"/>
          <w:color w:val="000000"/>
          <w:kern w:val="0"/>
          <w:sz w:val="32"/>
          <w:szCs w:val="32"/>
        </w:rPr>
        <w:t>工业投资居主导地位。</w:t>
      </w:r>
      <w:r w:rsidRPr="001872D1">
        <w:rPr>
          <w:rFonts w:ascii="仿宋_GB2312" w:eastAsia="仿宋_GB2312" w:hAnsi="华文宋体" w:cs="宋体" w:hint="eastAsia"/>
          <w:color w:val="000000"/>
          <w:kern w:val="0"/>
          <w:sz w:val="32"/>
          <w:szCs w:val="32"/>
        </w:rPr>
        <w:t>全年完成工业投资1487.3</w:t>
      </w:r>
      <w:r w:rsidR="00D6730E">
        <w:rPr>
          <w:rFonts w:ascii="仿宋_GB2312" w:eastAsia="仿宋_GB2312" w:hAnsi="华文宋体" w:cs="宋体" w:hint="eastAsia"/>
          <w:color w:val="000000"/>
          <w:kern w:val="0"/>
          <w:sz w:val="32"/>
          <w:szCs w:val="32"/>
        </w:rPr>
        <w:t>4</w:t>
      </w:r>
      <w:r w:rsidRPr="001872D1">
        <w:rPr>
          <w:rFonts w:ascii="仿宋_GB2312" w:eastAsia="仿宋_GB2312" w:hAnsi="华文宋体" w:cs="宋体" w:hint="eastAsia"/>
          <w:color w:val="000000"/>
          <w:kern w:val="0"/>
          <w:sz w:val="32"/>
          <w:szCs w:val="32"/>
        </w:rPr>
        <w:t>亿元，增长17.5%，对全市投资增长贡献率达72.0%。</w:t>
      </w:r>
      <w:r>
        <w:rPr>
          <w:rFonts w:ascii="仿宋_GB2312" w:eastAsia="仿宋_GB2312" w:hAnsi="华文宋体" w:cs="宋体" w:hint="eastAsia"/>
          <w:color w:val="000000"/>
          <w:kern w:val="0"/>
          <w:sz w:val="32"/>
          <w:szCs w:val="32"/>
        </w:rPr>
        <w:t>其中</w:t>
      </w:r>
      <w:r w:rsidRPr="001872D1">
        <w:rPr>
          <w:rFonts w:ascii="仿宋_GB2312" w:eastAsia="仿宋_GB2312" w:hAnsi="华文宋体" w:cs="宋体" w:hint="eastAsia"/>
          <w:color w:val="000000"/>
          <w:kern w:val="0"/>
          <w:sz w:val="32"/>
          <w:szCs w:val="32"/>
        </w:rPr>
        <w:t>，化学原料和化学制品制造业</w:t>
      </w:r>
      <w:r w:rsidR="004752C5">
        <w:rPr>
          <w:rFonts w:ascii="仿宋_GB2312" w:eastAsia="仿宋_GB2312" w:hAnsi="华文宋体" w:cs="宋体" w:hint="eastAsia"/>
          <w:color w:val="000000"/>
          <w:kern w:val="0"/>
          <w:sz w:val="32"/>
          <w:szCs w:val="32"/>
        </w:rPr>
        <w:t>完成</w:t>
      </w:r>
      <w:r>
        <w:rPr>
          <w:rFonts w:ascii="仿宋_GB2312" w:eastAsia="仿宋_GB2312" w:hAnsi="华文宋体" w:cs="宋体" w:hint="eastAsia"/>
          <w:color w:val="000000"/>
          <w:kern w:val="0"/>
          <w:sz w:val="32"/>
          <w:szCs w:val="32"/>
        </w:rPr>
        <w:t>投资</w:t>
      </w:r>
      <w:r w:rsidRPr="001872D1">
        <w:rPr>
          <w:rFonts w:ascii="仿宋_GB2312" w:eastAsia="仿宋_GB2312" w:hAnsi="华文宋体" w:cs="宋体" w:hint="eastAsia"/>
          <w:color w:val="000000"/>
          <w:kern w:val="0"/>
          <w:sz w:val="32"/>
          <w:szCs w:val="32"/>
        </w:rPr>
        <w:t>252.2亿元，非金属矿物制品业</w:t>
      </w:r>
      <w:r>
        <w:rPr>
          <w:rFonts w:ascii="仿宋_GB2312" w:eastAsia="仿宋_GB2312" w:hAnsi="华文宋体" w:cs="宋体" w:hint="eastAsia"/>
          <w:color w:val="000000"/>
          <w:kern w:val="0"/>
          <w:sz w:val="32"/>
          <w:szCs w:val="32"/>
        </w:rPr>
        <w:t>投资</w:t>
      </w:r>
      <w:r w:rsidRPr="001872D1">
        <w:rPr>
          <w:rFonts w:ascii="仿宋_GB2312" w:eastAsia="仿宋_GB2312" w:hAnsi="华文宋体" w:cs="宋体" w:hint="eastAsia"/>
          <w:color w:val="000000"/>
          <w:kern w:val="0"/>
          <w:sz w:val="32"/>
          <w:szCs w:val="32"/>
        </w:rPr>
        <w:t>164.0亿元，电气机械和器材制造业</w:t>
      </w:r>
      <w:r>
        <w:rPr>
          <w:rFonts w:ascii="仿宋_GB2312" w:eastAsia="仿宋_GB2312" w:hAnsi="华文宋体" w:cs="宋体" w:hint="eastAsia"/>
          <w:color w:val="000000"/>
          <w:kern w:val="0"/>
          <w:sz w:val="32"/>
          <w:szCs w:val="32"/>
        </w:rPr>
        <w:t>投资</w:t>
      </w:r>
      <w:r w:rsidRPr="001872D1">
        <w:rPr>
          <w:rFonts w:ascii="仿宋_GB2312" w:eastAsia="仿宋_GB2312" w:hAnsi="华文宋体" w:cs="宋体" w:hint="eastAsia"/>
          <w:color w:val="000000"/>
          <w:kern w:val="0"/>
          <w:sz w:val="32"/>
          <w:szCs w:val="32"/>
        </w:rPr>
        <w:t>99.0亿元，农副食品加工业</w:t>
      </w:r>
      <w:r w:rsidR="004752C5">
        <w:rPr>
          <w:rFonts w:ascii="仿宋_GB2312" w:eastAsia="仿宋_GB2312" w:hAnsi="华文宋体" w:cs="宋体" w:hint="eastAsia"/>
          <w:color w:val="000000"/>
          <w:kern w:val="0"/>
          <w:sz w:val="32"/>
          <w:szCs w:val="32"/>
        </w:rPr>
        <w:t>投资</w:t>
      </w:r>
      <w:r w:rsidRPr="001872D1">
        <w:rPr>
          <w:rFonts w:ascii="仿宋_GB2312" w:eastAsia="仿宋_GB2312" w:hAnsi="华文宋体" w:cs="宋体" w:hint="eastAsia"/>
          <w:color w:val="000000"/>
          <w:kern w:val="0"/>
          <w:sz w:val="32"/>
          <w:szCs w:val="32"/>
        </w:rPr>
        <w:t>82.2亿元，专用设备制造业</w:t>
      </w:r>
      <w:r w:rsidR="004752C5">
        <w:rPr>
          <w:rFonts w:ascii="仿宋_GB2312" w:eastAsia="仿宋_GB2312" w:hAnsi="华文宋体" w:cs="宋体" w:hint="eastAsia"/>
          <w:color w:val="000000"/>
          <w:kern w:val="0"/>
          <w:sz w:val="32"/>
          <w:szCs w:val="32"/>
        </w:rPr>
        <w:t>投资</w:t>
      </w:r>
      <w:r w:rsidRPr="001872D1">
        <w:rPr>
          <w:rFonts w:ascii="仿宋_GB2312" w:eastAsia="仿宋_GB2312" w:hAnsi="华文宋体" w:cs="宋体" w:hint="eastAsia"/>
          <w:color w:val="000000"/>
          <w:kern w:val="0"/>
          <w:sz w:val="32"/>
          <w:szCs w:val="32"/>
        </w:rPr>
        <w:lastRenderedPageBreak/>
        <w:t>68.5亿元，医药制造业</w:t>
      </w:r>
      <w:r w:rsidR="004752C5">
        <w:rPr>
          <w:rFonts w:ascii="仿宋_GB2312" w:eastAsia="仿宋_GB2312" w:hAnsi="华文宋体" w:cs="宋体" w:hint="eastAsia"/>
          <w:color w:val="000000"/>
          <w:kern w:val="0"/>
          <w:sz w:val="32"/>
          <w:szCs w:val="32"/>
        </w:rPr>
        <w:t>投资</w:t>
      </w:r>
      <w:r w:rsidRPr="001872D1">
        <w:rPr>
          <w:rFonts w:ascii="仿宋_GB2312" w:eastAsia="仿宋_GB2312" w:hAnsi="华文宋体" w:cs="宋体" w:hint="eastAsia"/>
          <w:color w:val="000000"/>
          <w:kern w:val="0"/>
          <w:sz w:val="32"/>
          <w:szCs w:val="32"/>
        </w:rPr>
        <w:t>59.4亿元，通用设备制造业</w:t>
      </w:r>
      <w:r w:rsidR="004752C5">
        <w:rPr>
          <w:rFonts w:ascii="仿宋_GB2312" w:eastAsia="仿宋_GB2312" w:hAnsi="华文宋体" w:cs="宋体" w:hint="eastAsia"/>
          <w:color w:val="000000"/>
          <w:kern w:val="0"/>
          <w:sz w:val="32"/>
          <w:szCs w:val="32"/>
        </w:rPr>
        <w:t>投资</w:t>
      </w:r>
      <w:r w:rsidRPr="001872D1">
        <w:rPr>
          <w:rFonts w:ascii="仿宋_GB2312" w:eastAsia="仿宋_GB2312" w:hAnsi="华文宋体" w:cs="宋体" w:hint="eastAsia"/>
          <w:color w:val="000000"/>
          <w:kern w:val="0"/>
          <w:sz w:val="32"/>
          <w:szCs w:val="32"/>
        </w:rPr>
        <w:t>52.1亿元。</w:t>
      </w:r>
    </w:p>
    <w:p w:rsidR="001872D1" w:rsidRPr="001872D1" w:rsidRDefault="001872D1" w:rsidP="009262F8">
      <w:pPr>
        <w:widowControl/>
        <w:shd w:val="clear" w:color="auto" w:fill="FFFFFF"/>
        <w:spacing w:before="100" w:beforeAutospacing="1" w:after="100" w:afterAutospacing="1" w:line="560" w:lineRule="exact"/>
        <w:ind w:firstLineChars="200" w:firstLine="640"/>
        <w:rPr>
          <w:rFonts w:ascii="宋体" w:eastAsia="宋体" w:hAnsi="宋体" w:cs="宋体"/>
          <w:color w:val="353535"/>
          <w:kern w:val="0"/>
          <w:sz w:val="24"/>
          <w:szCs w:val="24"/>
        </w:rPr>
      </w:pPr>
      <w:r w:rsidRPr="001872D1">
        <w:rPr>
          <w:rFonts w:ascii="楷体_GB2312" w:eastAsia="楷体_GB2312" w:hAnsi="华文宋体" w:cs="宋体" w:hint="eastAsia"/>
          <w:color w:val="000000"/>
          <w:kern w:val="0"/>
          <w:sz w:val="32"/>
          <w:szCs w:val="32"/>
        </w:rPr>
        <w:t>民间投资</w:t>
      </w:r>
      <w:r w:rsidR="004D6786">
        <w:rPr>
          <w:rFonts w:ascii="楷体_GB2312" w:eastAsia="楷体_GB2312" w:hAnsi="华文宋体" w:cs="宋体" w:hint="eastAsia"/>
          <w:color w:val="000000"/>
          <w:kern w:val="0"/>
          <w:sz w:val="32"/>
          <w:szCs w:val="32"/>
        </w:rPr>
        <w:t>保持增长</w:t>
      </w:r>
      <w:r w:rsidRPr="001872D1">
        <w:rPr>
          <w:rFonts w:ascii="楷体_GB2312" w:eastAsia="楷体_GB2312" w:hAnsi="华文宋体" w:cs="宋体" w:hint="eastAsia"/>
          <w:color w:val="000000"/>
          <w:kern w:val="0"/>
          <w:sz w:val="32"/>
          <w:szCs w:val="32"/>
        </w:rPr>
        <w:t>。</w:t>
      </w:r>
      <w:r w:rsidR="004752C5">
        <w:rPr>
          <w:rFonts w:ascii="仿宋_GB2312" w:eastAsia="仿宋_GB2312" w:hAnsi="宋体" w:cs="宋体" w:hint="eastAsia"/>
          <w:color w:val="000000"/>
          <w:kern w:val="0"/>
          <w:sz w:val="32"/>
          <w:szCs w:val="32"/>
        </w:rPr>
        <w:t>全年</w:t>
      </w:r>
      <w:r w:rsidR="004752C5" w:rsidRPr="001872D1">
        <w:rPr>
          <w:rFonts w:ascii="仿宋_GB2312" w:eastAsia="仿宋_GB2312" w:hAnsi="宋体" w:cs="宋体" w:hint="eastAsia"/>
          <w:color w:val="000000"/>
          <w:kern w:val="0"/>
          <w:sz w:val="32"/>
          <w:szCs w:val="32"/>
        </w:rPr>
        <w:t>完成</w:t>
      </w:r>
      <w:r w:rsidRPr="001872D1">
        <w:rPr>
          <w:rFonts w:ascii="仿宋_GB2312" w:eastAsia="仿宋_GB2312" w:hAnsi="宋体" w:cs="宋体" w:hint="eastAsia"/>
          <w:color w:val="000000"/>
          <w:kern w:val="0"/>
          <w:sz w:val="32"/>
          <w:szCs w:val="32"/>
        </w:rPr>
        <w:t>民间投资1622.7亿元，增长15.0%，占全市投资的比重为68.0%。民间投资主要投向制造业和房地产业，</w:t>
      </w:r>
      <w:r w:rsidR="004752C5">
        <w:rPr>
          <w:rFonts w:ascii="仿宋_GB2312" w:eastAsia="仿宋_GB2312" w:hAnsi="宋体" w:cs="宋体" w:hint="eastAsia"/>
          <w:color w:val="000000"/>
          <w:kern w:val="0"/>
          <w:sz w:val="32"/>
          <w:szCs w:val="32"/>
        </w:rPr>
        <w:t>其中</w:t>
      </w:r>
      <w:r w:rsidRPr="001872D1">
        <w:rPr>
          <w:rFonts w:ascii="仿宋_GB2312" w:eastAsia="仿宋_GB2312" w:hAnsi="宋体" w:cs="宋体" w:hint="eastAsia"/>
          <w:color w:val="000000"/>
          <w:kern w:val="0"/>
          <w:sz w:val="32"/>
          <w:szCs w:val="32"/>
        </w:rPr>
        <w:t>制造业1119.9亿元，占全市民间投资69.0%，房地产业241.6亿元，占全市民间投资14.9%。</w:t>
      </w:r>
    </w:p>
    <w:p w:rsidR="00C86179" w:rsidRDefault="001872D1" w:rsidP="009262F8">
      <w:pPr>
        <w:widowControl/>
        <w:shd w:val="clear" w:color="auto" w:fill="FFFFFF"/>
        <w:spacing w:before="100" w:beforeAutospacing="1" w:after="100" w:afterAutospacing="1" w:line="560" w:lineRule="exact"/>
        <w:ind w:firstLineChars="200" w:firstLine="640"/>
        <w:rPr>
          <w:rFonts w:ascii="Times New Roman" w:eastAsia="黑体" w:hAnsi="黑体" w:cs="宋体"/>
          <w:kern w:val="0"/>
          <w:sz w:val="32"/>
          <w:szCs w:val="32"/>
        </w:rPr>
      </w:pPr>
      <w:r w:rsidRPr="001872D1">
        <w:rPr>
          <w:rFonts w:ascii="楷体_GB2312" w:eastAsia="楷体_GB2312" w:hAnsi="华文宋体" w:cs="宋体" w:hint="eastAsia"/>
          <w:color w:val="000000"/>
          <w:kern w:val="0"/>
          <w:sz w:val="32"/>
          <w:szCs w:val="32"/>
        </w:rPr>
        <w:t>重大项目增多。</w:t>
      </w:r>
      <w:r w:rsidRPr="001872D1">
        <w:rPr>
          <w:rFonts w:ascii="仿宋_GB2312" w:eastAsia="仿宋_GB2312" w:hAnsi="华文宋体" w:cs="宋体" w:hint="eastAsia"/>
          <w:color w:val="000000"/>
          <w:kern w:val="0"/>
          <w:sz w:val="32"/>
          <w:szCs w:val="32"/>
        </w:rPr>
        <w:t>全年亿元以上在建重大项目644个，</w:t>
      </w:r>
      <w:r w:rsidR="004752C5">
        <w:rPr>
          <w:rFonts w:ascii="仿宋_GB2312" w:eastAsia="仿宋_GB2312" w:hAnsi="华文宋体" w:cs="宋体" w:hint="eastAsia"/>
          <w:color w:val="000000"/>
          <w:kern w:val="0"/>
          <w:sz w:val="32"/>
          <w:szCs w:val="32"/>
        </w:rPr>
        <w:t>比</w:t>
      </w:r>
      <w:r w:rsidRPr="001872D1">
        <w:rPr>
          <w:rFonts w:ascii="仿宋_GB2312" w:eastAsia="仿宋_GB2312" w:hAnsi="华文宋体" w:cs="宋体" w:hint="eastAsia"/>
          <w:color w:val="000000"/>
          <w:kern w:val="0"/>
          <w:sz w:val="32"/>
          <w:szCs w:val="32"/>
        </w:rPr>
        <w:t>上年增加115个，完成投资1502.8亿元，占全部投资额的63.0%。</w:t>
      </w:r>
    </w:p>
    <w:p w:rsidR="00FD0E93" w:rsidRPr="00B74B05" w:rsidRDefault="00FD0E93" w:rsidP="009262F8">
      <w:pPr>
        <w:widowControl/>
        <w:shd w:val="clear" w:color="auto" w:fill="FFFFFF"/>
        <w:spacing w:before="100" w:beforeAutospacing="1" w:after="100" w:afterAutospacing="1" w:line="560" w:lineRule="exact"/>
        <w:ind w:firstLineChars="200" w:firstLine="640"/>
        <w:jc w:val="left"/>
        <w:rPr>
          <w:rFonts w:ascii="宋体" w:eastAsia="宋体" w:hAnsi="宋体" w:cs="宋体"/>
          <w:color w:val="353535"/>
          <w:kern w:val="0"/>
          <w:sz w:val="24"/>
          <w:szCs w:val="24"/>
        </w:rPr>
      </w:pPr>
      <w:r>
        <w:rPr>
          <w:rFonts w:ascii="Times New Roman" w:eastAsia="黑体" w:hAnsi="黑体" w:cs="宋体" w:hint="eastAsia"/>
          <w:color w:val="000000"/>
          <w:kern w:val="0"/>
          <w:sz w:val="32"/>
          <w:szCs w:val="32"/>
        </w:rPr>
        <w:t>五</w:t>
      </w:r>
      <w:r w:rsidRPr="00B74B05">
        <w:rPr>
          <w:rFonts w:ascii="Times New Roman" w:eastAsia="黑体" w:hAnsi="黑体" w:cs="宋体" w:hint="eastAsia"/>
          <w:color w:val="000000"/>
          <w:kern w:val="0"/>
          <w:sz w:val="32"/>
          <w:szCs w:val="32"/>
        </w:rPr>
        <w:t>、国内贸易</w:t>
      </w:r>
    </w:p>
    <w:p w:rsidR="006512AB" w:rsidRPr="001F576F" w:rsidRDefault="00FD0E93" w:rsidP="009262F8">
      <w:pPr>
        <w:widowControl/>
        <w:shd w:val="clear" w:color="auto" w:fill="FFFFFF"/>
        <w:spacing w:before="100" w:beforeAutospacing="1" w:after="100" w:afterAutospacing="1" w:line="560" w:lineRule="exact"/>
        <w:ind w:firstLineChars="200" w:firstLine="640"/>
        <w:rPr>
          <w:rFonts w:ascii="仿宋_GB2312" w:eastAsia="仿宋_GB2312" w:cs="宋体"/>
          <w:color w:val="000000"/>
          <w:kern w:val="0"/>
          <w:sz w:val="32"/>
          <w:szCs w:val="32"/>
          <w:lang w:val="zh-CN"/>
        </w:rPr>
      </w:pPr>
      <w:r w:rsidRPr="00B74B05">
        <w:rPr>
          <w:rFonts w:ascii="楷体_GB2312" w:eastAsia="楷体_GB2312" w:hAnsi="宋体" w:cs="宋体" w:hint="eastAsia"/>
          <w:color w:val="000000"/>
          <w:kern w:val="0"/>
          <w:sz w:val="32"/>
          <w:szCs w:val="32"/>
        </w:rPr>
        <w:t>消费品市场运行良好。</w:t>
      </w:r>
      <w:r w:rsidRPr="001F576F">
        <w:rPr>
          <w:rFonts w:ascii="仿宋_GB2312" w:eastAsia="仿宋_GB2312" w:hint="eastAsia"/>
          <w:color w:val="353535"/>
          <w:sz w:val="32"/>
          <w:szCs w:val="32"/>
        </w:rPr>
        <w:t>全年实现社会消费品零售总额933.31亿元，增长12.4%。</w:t>
      </w:r>
      <w:r w:rsidRPr="001F576F">
        <w:rPr>
          <w:rFonts w:ascii="仿宋_GB2312" w:eastAsia="仿宋_GB2312" w:hAnsi="宋体" w:cs="宋体" w:hint="eastAsia"/>
          <w:color w:val="000000"/>
          <w:kern w:val="0"/>
          <w:sz w:val="32"/>
          <w:szCs w:val="32"/>
        </w:rPr>
        <w:t>其中，批发业</w:t>
      </w:r>
      <w:r w:rsidR="001F576F">
        <w:rPr>
          <w:rFonts w:ascii="仿宋_GB2312" w:eastAsia="仿宋_GB2312" w:hAnsi="宋体" w:cs="宋体" w:hint="eastAsia"/>
          <w:color w:val="000000"/>
          <w:kern w:val="0"/>
          <w:sz w:val="32"/>
          <w:szCs w:val="32"/>
        </w:rPr>
        <w:t>实现零售额</w:t>
      </w:r>
      <w:r w:rsidRPr="001F576F">
        <w:rPr>
          <w:rFonts w:ascii="仿宋_GB2312" w:eastAsia="仿宋_GB2312" w:hAnsi="宋体" w:cs="宋体" w:hint="eastAsia"/>
          <w:color w:val="000000"/>
          <w:kern w:val="0"/>
          <w:sz w:val="32"/>
          <w:szCs w:val="32"/>
        </w:rPr>
        <w:t>83.92亿元，增长29.8%;零售业745.72亿元，增长8.3%</w:t>
      </w:r>
      <w:r w:rsidR="001F576F">
        <w:rPr>
          <w:rFonts w:ascii="仿宋_GB2312" w:eastAsia="仿宋_GB2312" w:hAnsi="宋体" w:cs="宋体" w:hint="eastAsia"/>
          <w:color w:val="000000"/>
          <w:kern w:val="0"/>
          <w:sz w:val="32"/>
          <w:szCs w:val="32"/>
        </w:rPr>
        <w:t>；</w:t>
      </w:r>
      <w:r w:rsidRPr="001F576F">
        <w:rPr>
          <w:rFonts w:ascii="仿宋_GB2312" w:eastAsia="仿宋_GB2312" w:hAnsi="宋体" w:cs="宋体" w:hint="eastAsia"/>
          <w:color w:val="000000"/>
          <w:kern w:val="0"/>
          <w:sz w:val="32"/>
          <w:szCs w:val="32"/>
        </w:rPr>
        <w:t>住宿业13.86亿元，增长42.8%</w:t>
      </w:r>
      <w:r w:rsidR="001F576F">
        <w:rPr>
          <w:rFonts w:ascii="仿宋_GB2312" w:eastAsia="仿宋_GB2312" w:hAnsi="宋体" w:cs="宋体" w:hint="eastAsia"/>
          <w:color w:val="000000"/>
          <w:kern w:val="0"/>
          <w:sz w:val="32"/>
          <w:szCs w:val="32"/>
        </w:rPr>
        <w:t>；</w:t>
      </w:r>
      <w:r w:rsidRPr="001F576F">
        <w:rPr>
          <w:rFonts w:ascii="仿宋_GB2312" w:eastAsia="仿宋_GB2312" w:hAnsi="宋体" w:cs="宋体" w:hint="eastAsia"/>
          <w:color w:val="000000"/>
          <w:kern w:val="0"/>
          <w:sz w:val="32"/>
          <w:szCs w:val="32"/>
        </w:rPr>
        <w:t>餐饮业89.80亿元，增长32.7%。</w:t>
      </w:r>
      <w:r w:rsidR="006512AB" w:rsidRPr="001F576F">
        <w:rPr>
          <w:rFonts w:ascii="仿宋_GB2312" w:eastAsia="仿宋_GB2312" w:cs="宋体" w:hint="eastAsia"/>
          <w:color w:val="000000"/>
          <w:kern w:val="0"/>
          <w:sz w:val="32"/>
          <w:szCs w:val="32"/>
          <w:lang w:val="zh-CN"/>
        </w:rPr>
        <w:t>限额以上单位中，粮油食品类实现零售额50</w:t>
      </w:r>
      <w:r w:rsidR="001F576F" w:rsidRPr="001F576F">
        <w:rPr>
          <w:rFonts w:ascii="仿宋_GB2312" w:eastAsia="仿宋_GB2312" w:cs="宋体" w:hint="eastAsia"/>
          <w:color w:val="000000"/>
          <w:kern w:val="0"/>
          <w:sz w:val="32"/>
          <w:szCs w:val="32"/>
          <w:lang w:val="zh-CN"/>
        </w:rPr>
        <w:t>.</w:t>
      </w:r>
      <w:r w:rsidR="001F576F">
        <w:rPr>
          <w:rFonts w:ascii="仿宋_GB2312" w:eastAsia="仿宋_GB2312" w:cs="宋体" w:hint="eastAsia"/>
          <w:color w:val="000000"/>
          <w:kern w:val="0"/>
          <w:sz w:val="32"/>
          <w:szCs w:val="32"/>
          <w:lang w:val="zh-CN"/>
        </w:rPr>
        <w:t>0</w:t>
      </w:r>
      <w:r w:rsidR="006512AB" w:rsidRPr="001F576F">
        <w:rPr>
          <w:rFonts w:ascii="仿宋_GB2312" w:eastAsia="仿宋_GB2312" w:cs="宋体" w:hint="eastAsia"/>
          <w:color w:val="000000"/>
          <w:kern w:val="0"/>
          <w:sz w:val="32"/>
          <w:szCs w:val="32"/>
          <w:lang w:val="zh-CN"/>
        </w:rPr>
        <w:t>亿元，增长44%；服装类21.23亿元，增长25.8%;金银珠宝类15.45亿元，增长17.6%；家用电器类19.41亿元，增长19.4%；中西药品类31.9亿元，增长14.9%；石油制品类90</w:t>
      </w:r>
      <w:r w:rsidR="001F576F" w:rsidRPr="001F576F">
        <w:rPr>
          <w:rFonts w:ascii="仿宋_GB2312" w:eastAsia="仿宋_GB2312" w:cs="宋体" w:hint="eastAsia"/>
          <w:color w:val="000000"/>
          <w:kern w:val="0"/>
          <w:sz w:val="32"/>
          <w:szCs w:val="32"/>
          <w:lang w:val="zh-CN"/>
        </w:rPr>
        <w:t>.</w:t>
      </w:r>
      <w:r w:rsidR="001F576F">
        <w:rPr>
          <w:rFonts w:ascii="仿宋_GB2312" w:eastAsia="仿宋_GB2312" w:cs="宋体" w:hint="eastAsia"/>
          <w:color w:val="000000"/>
          <w:kern w:val="0"/>
          <w:sz w:val="32"/>
          <w:szCs w:val="32"/>
          <w:lang w:val="zh-CN"/>
        </w:rPr>
        <w:t>0</w:t>
      </w:r>
      <w:r w:rsidR="006512AB" w:rsidRPr="001F576F">
        <w:rPr>
          <w:rFonts w:ascii="仿宋_GB2312" w:eastAsia="仿宋_GB2312" w:cs="宋体" w:hint="eastAsia"/>
          <w:color w:val="000000"/>
          <w:kern w:val="0"/>
          <w:sz w:val="32"/>
          <w:szCs w:val="32"/>
          <w:lang w:val="zh-CN"/>
        </w:rPr>
        <w:t>亿元，增长2.4%；汽车类70</w:t>
      </w:r>
      <w:r w:rsidR="001F576F" w:rsidRPr="001F576F">
        <w:rPr>
          <w:rFonts w:ascii="仿宋_GB2312" w:eastAsia="仿宋_GB2312" w:cs="宋体" w:hint="eastAsia"/>
          <w:color w:val="000000"/>
          <w:kern w:val="0"/>
          <w:sz w:val="32"/>
          <w:szCs w:val="32"/>
          <w:lang w:val="zh-CN"/>
        </w:rPr>
        <w:t>.</w:t>
      </w:r>
      <w:r w:rsidR="001F576F">
        <w:rPr>
          <w:rFonts w:ascii="仿宋_GB2312" w:eastAsia="仿宋_GB2312" w:cs="宋体" w:hint="eastAsia"/>
          <w:color w:val="000000"/>
          <w:kern w:val="0"/>
          <w:sz w:val="32"/>
          <w:szCs w:val="32"/>
          <w:lang w:val="zh-CN"/>
        </w:rPr>
        <w:t>0</w:t>
      </w:r>
      <w:r w:rsidR="006512AB" w:rsidRPr="001F576F">
        <w:rPr>
          <w:rFonts w:ascii="仿宋_GB2312" w:eastAsia="仿宋_GB2312" w:cs="宋体" w:hint="eastAsia"/>
          <w:color w:val="000000"/>
          <w:kern w:val="0"/>
          <w:sz w:val="32"/>
          <w:szCs w:val="32"/>
          <w:lang w:val="zh-CN"/>
        </w:rPr>
        <w:t>亿元，增长10.8%。</w:t>
      </w:r>
    </w:p>
    <w:p w:rsidR="00E71D71" w:rsidRPr="00E71D71" w:rsidRDefault="00E71D71" w:rsidP="009262F8">
      <w:pPr>
        <w:widowControl/>
        <w:shd w:val="clear" w:color="auto" w:fill="FFFFFF"/>
        <w:spacing w:before="100" w:beforeAutospacing="1" w:after="100" w:afterAutospacing="1" w:line="560" w:lineRule="exact"/>
        <w:ind w:firstLineChars="200" w:firstLine="640"/>
        <w:rPr>
          <w:rFonts w:ascii="宋体" w:eastAsia="宋体" w:hAnsi="宋体" w:cs="宋体"/>
          <w:color w:val="FF0000"/>
          <w:kern w:val="0"/>
          <w:sz w:val="24"/>
          <w:szCs w:val="24"/>
        </w:rPr>
      </w:pPr>
      <w:r w:rsidRPr="00E71D71">
        <w:rPr>
          <w:rFonts w:ascii="楷体_GB2312" w:eastAsia="楷体_GB2312" w:hAnsi="宋体" w:cs="宋体"/>
          <w:color w:val="000000"/>
          <w:kern w:val="0"/>
          <w:sz w:val="32"/>
          <w:szCs w:val="32"/>
        </w:rPr>
        <w:t>新型业态加快发展</w:t>
      </w:r>
      <w:r w:rsidRPr="00E71D71">
        <w:rPr>
          <w:rFonts w:ascii="楷体_GB2312" w:eastAsia="楷体_GB2312" w:hAnsi="宋体" w:cs="宋体" w:hint="eastAsia"/>
          <w:color w:val="000000"/>
          <w:kern w:val="0"/>
          <w:sz w:val="32"/>
          <w:szCs w:val="32"/>
        </w:rPr>
        <w:t>。</w:t>
      </w:r>
      <w:r w:rsidRPr="003D1FB6">
        <w:rPr>
          <w:rFonts w:ascii="仿宋_GB2312" w:eastAsia="仿宋_GB2312" w:hint="eastAsia"/>
          <w:sz w:val="32"/>
          <w:szCs w:val="32"/>
        </w:rPr>
        <w:t>连云港</w:t>
      </w:r>
      <w:r w:rsidRPr="003D1FB6">
        <w:rPr>
          <w:rFonts w:ascii="仿宋_GB2312" w:eastAsia="仿宋_GB2312"/>
          <w:sz w:val="32"/>
          <w:szCs w:val="32"/>
        </w:rPr>
        <w:t>被认定为省跨境电子商务试点城市，东海县被评为省级电商示范县，全年电子商务网络</w:t>
      </w:r>
      <w:r w:rsidRPr="003D1FB6">
        <w:rPr>
          <w:rFonts w:ascii="仿宋_GB2312" w:eastAsia="仿宋_GB2312"/>
          <w:sz w:val="32"/>
          <w:szCs w:val="32"/>
        </w:rPr>
        <w:lastRenderedPageBreak/>
        <w:t>零售额突破100亿元，增长25%。</w:t>
      </w:r>
      <w:r w:rsidR="006512AB">
        <w:rPr>
          <w:rFonts w:ascii="Calibri" w:eastAsia="仿宋_GB2312" w:hAnsi="Calibri" w:cs="Times New Roman"/>
          <w:bCs/>
          <w:sz w:val="32"/>
          <w:szCs w:val="32"/>
        </w:rPr>
        <w:t>苏宁广场、万达广场、东海水晶城等商业综合体人气集聚，</w:t>
      </w:r>
      <w:r w:rsidR="001F576F">
        <w:rPr>
          <w:rFonts w:ascii="Times New Roman" w:eastAsia="仿宋_GB2312" w:hint="eastAsia"/>
          <w:color w:val="353535"/>
          <w:sz w:val="32"/>
          <w:szCs w:val="32"/>
        </w:rPr>
        <w:t>综合体建设取得突破</w:t>
      </w:r>
      <w:r w:rsidR="006512AB">
        <w:rPr>
          <w:rFonts w:ascii="Calibri" w:eastAsia="仿宋_GB2312" w:hAnsi="Calibri" w:cs="Times New Roman"/>
          <w:bCs/>
          <w:sz w:val="32"/>
          <w:szCs w:val="32"/>
        </w:rPr>
        <w:t>。</w:t>
      </w:r>
    </w:p>
    <w:p w:rsidR="00034BF3" w:rsidRDefault="00FD0E93" w:rsidP="009262F8">
      <w:pPr>
        <w:widowControl/>
        <w:shd w:val="clear" w:color="auto" w:fill="FFFFFF"/>
        <w:spacing w:before="100" w:beforeAutospacing="1" w:after="100" w:afterAutospacing="1" w:line="560" w:lineRule="exact"/>
        <w:ind w:firstLineChars="200" w:firstLine="640"/>
        <w:jc w:val="left"/>
        <w:rPr>
          <w:rFonts w:ascii="宋体" w:eastAsia="宋体" w:hAnsi="宋体" w:cs="宋体"/>
          <w:color w:val="353535"/>
          <w:kern w:val="0"/>
          <w:sz w:val="24"/>
          <w:szCs w:val="24"/>
        </w:rPr>
      </w:pPr>
      <w:r>
        <w:rPr>
          <w:rFonts w:ascii="Times New Roman" w:eastAsia="黑体" w:hAnsi="黑体" w:cs="宋体" w:hint="eastAsia"/>
          <w:color w:val="000000"/>
          <w:kern w:val="0"/>
          <w:sz w:val="32"/>
          <w:szCs w:val="32"/>
        </w:rPr>
        <w:t>六</w:t>
      </w:r>
      <w:r w:rsidRPr="00B74B05">
        <w:rPr>
          <w:rFonts w:ascii="Times New Roman" w:eastAsia="黑体" w:hAnsi="黑体" w:cs="宋体" w:hint="eastAsia"/>
          <w:color w:val="000000"/>
          <w:kern w:val="0"/>
          <w:sz w:val="32"/>
          <w:szCs w:val="32"/>
        </w:rPr>
        <w:t>、</w:t>
      </w:r>
      <w:r>
        <w:rPr>
          <w:rFonts w:ascii="Times New Roman" w:eastAsia="黑体" w:hAnsi="黑体" w:cs="宋体" w:hint="eastAsia"/>
          <w:color w:val="000000"/>
          <w:kern w:val="0"/>
          <w:sz w:val="32"/>
          <w:szCs w:val="32"/>
        </w:rPr>
        <w:t>开放型</w:t>
      </w:r>
      <w:r w:rsidRPr="00B74B05">
        <w:rPr>
          <w:rFonts w:ascii="Times New Roman" w:eastAsia="黑体" w:hAnsi="黑体" w:cs="宋体" w:hint="eastAsia"/>
          <w:color w:val="000000"/>
          <w:kern w:val="0"/>
          <w:sz w:val="32"/>
          <w:szCs w:val="32"/>
        </w:rPr>
        <w:t>经济</w:t>
      </w:r>
    </w:p>
    <w:p w:rsidR="00034BF3" w:rsidRDefault="00E71D71" w:rsidP="009262F8">
      <w:pPr>
        <w:widowControl/>
        <w:shd w:val="clear" w:color="auto" w:fill="FFFFFF"/>
        <w:spacing w:before="100" w:beforeAutospacing="1" w:after="100" w:afterAutospacing="1" w:line="560" w:lineRule="exact"/>
        <w:ind w:firstLineChars="200" w:firstLine="640"/>
        <w:rPr>
          <w:rFonts w:ascii="仿宋_GB2312" w:eastAsia="仿宋_GB2312"/>
          <w:sz w:val="32"/>
          <w:szCs w:val="32"/>
        </w:rPr>
      </w:pPr>
      <w:r w:rsidRPr="00CA5A42">
        <w:rPr>
          <w:rFonts w:ascii="楷体_GB2312" w:eastAsia="楷体_GB2312" w:hAnsi="宋体" w:cs="宋体"/>
          <w:color w:val="000000"/>
          <w:kern w:val="0"/>
          <w:sz w:val="32"/>
          <w:szCs w:val="32"/>
        </w:rPr>
        <w:t>东西双向开放不断深入。</w:t>
      </w:r>
      <w:r w:rsidRPr="005B1326">
        <w:rPr>
          <w:rFonts w:ascii="仿宋_GB2312" w:eastAsia="仿宋_GB2312"/>
          <w:sz w:val="32"/>
          <w:szCs w:val="32"/>
        </w:rPr>
        <w:t>向东开放优势</w:t>
      </w:r>
      <w:r w:rsidR="00CA5A42" w:rsidRPr="005B1326">
        <w:rPr>
          <w:rFonts w:ascii="仿宋_GB2312" w:eastAsia="仿宋_GB2312" w:hint="eastAsia"/>
          <w:sz w:val="32"/>
          <w:szCs w:val="32"/>
        </w:rPr>
        <w:t>不断</w:t>
      </w:r>
      <w:r w:rsidR="00CA5A42" w:rsidRPr="005B1326">
        <w:rPr>
          <w:rFonts w:ascii="仿宋_GB2312" w:eastAsia="仿宋_GB2312"/>
          <w:sz w:val="32"/>
          <w:szCs w:val="32"/>
        </w:rPr>
        <w:t>扩大</w:t>
      </w:r>
      <w:r w:rsidRPr="005B1326">
        <w:rPr>
          <w:rFonts w:ascii="仿宋_GB2312" w:eastAsia="仿宋_GB2312"/>
          <w:sz w:val="32"/>
          <w:szCs w:val="32"/>
        </w:rPr>
        <w:t>，进一步加强</w:t>
      </w:r>
      <w:r w:rsidR="00CA5A42">
        <w:rPr>
          <w:rFonts w:ascii="仿宋_GB2312" w:eastAsia="仿宋_GB2312" w:hint="eastAsia"/>
          <w:sz w:val="32"/>
          <w:szCs w:val="32"/>
        </w:rPr>
        <w:t>与</w:t>
      </w:r>
      <w:r w:rsidRPr="005B1326">
        <w:rPr>
          <w:rFonts w:ascii="仿宋_GB2312" w:eastAsia="仿宋_GB2312"/>
          <w:sz w:val="32"/>
          <w:szCs w:val="32"/>
        </w:rPr>
        <w:t>日韩、东南亚港航贸易合作</w:t>
      </w:r>
      <w:r w:rsidRPr="005B1326">
        <w:rPr>
          <w:rFonts w:ascii="仿宋_GB2312" w:eastAsia="仿宋_GB2312" w:hint="eastAsia"/>
          <w:sz w:val="32"/>
          <w:szCs w:val="32"/>
        </w:rPr>
        <w:t>。加快</w:t>
      </w:r>
      <w:r w:rsidRPr="005B1326">
        <w:rPr>
          <w:rFonts w:ascii="仿宋_GB2312" w:eastAsia="仿宋_GB2312"/>
          <w:sz w:val="32"/>
          <w:szCs w:val="32"/>
        </w:rPr>
        <w:t>做好向西开放文章，强化与上合组织、欧洲等陆桥运输合作，不断深化与哈国铁、欧亚资源、立陶宛克莱佩达港、格鲁吉亚波季港等港航企业合作关系。</w:t>
      </w:r>
      <w:r>
        <w:rPr>
          <w:rFonts w:ascii="仿宋_GB2312" w:eastAsia="仿宋_GB2312" w:hint="eastAsia"/>
          <w:sz w:val="32"/>
          <w:szCs w:val="32"/>
        </w:rPr>
        <w:t>全年实际到帐注册外资5.50亿美元，</w:t>
      </w:r>
      <w:r w:rsidR="00CA5A42">
        <w:rPr>
          <w:rFonts w:ascii="仿宋_GB2312" w:eastAsia="仿宋_GB2312" w:hint="eastAsia"/>
          <w:sz w:val="32"/>
          <w:szCs w:val="32"/>
        </w:rPr>
        <w:t>下降31.3%。</w:t>
      </w:r>
      <w:r>
        <w:rPr>
          <w:rFonts w:ascii="仿宋_GB2312" w:eastAsia="仿宋_GB2312" w:hint="eastAsia"/>
          <w:sz w:val="32"/>
          <w:szCs w:val="32"/>
        </w:rPr>
        <w:t>进出口总额70.40亿美元，</w:t>
      </w:r>
      <w:r w:rsidR="00CA5A42">
        <w:rPr>
          <w:rFonts w:ascii="仿宋_GB2312" w:eastAsia="仿宋_GB2312" w:hint="eastAsia"/>
          <w:sz w:val="32"/>
          <w:szCs w:val="32"/>
        </w:rPr>
        <w:t>下降12.5%。</w:t>
      </w:r>
      <w:r>
        <w:rPr>
          <w:rFonts w:ascii="仿宋_GB2312" w:eastAsia="仿宋_GB2312" w:hint="eastAsia"/>
          <w:sz w:val="32"/>
          <w:szCs w:val="32"/>
        </w:rPr>
        <w:t>其中出口总额36.84亿美元</w:t>
      </w:r>
      <w:r w:rsidR="00CA5A42">
        <w:rPr>
          <w:rFonts w:ascii="仿宋_GB2312" w:eastAsia="仿宋_GB2312" w:hint="eastAsia"/>
          <w:sz w:val="32"/>
          <w:szCs w:val="32"/>
        </w:rPr>
        <w:t>，下降9.3%</w:t>
      </w:r>
      <w:r>
        <w:rPr>
          <w:rFonts w:ascii="仿宋_GB2312" w:eastAsia="仿宋_GB2312" w:hint="eastAsia"/>
          <w:sz w:val="32"/>
          <w:szCs w:val="32"/>
        </w:rPr>
        <w:t>。</w:t>
      </w:r>
    </w:p>
    <w:p w:rsidR="00E71D71" w:rsidRPr="00034BF3" w:rsidRDefault="00CA5A42" w:rsidP="009262F8">
      <w:pPr>
        <w:widowControl/>
        <w:shd w:val="clear" w:color="auto" w:fill="FFFFFF"/>
        <w:spacing w:before="100" w:beforeAutospacing="1" w:after="100" w:afterAutospacing="1" w:line="560" w:lineRule="exact"/>
        <w:ind w:firstLineChars="200" w:firstLine="640"/>
        <w:rPr>
          <w:rFonts w:ascii="宋体" w:eastAsia="宋体" w:hAnsi="宋体" w:cs="宋体"/>
          <w:color w:val="353535"/>
          <w:kern w:val="0"/>
          <w:sz w:val="24"/>
          <w:szCs w:val="24"/>
        </w:rPr>
      </w:pPr>
      <w:r>
        <w:rPr>
          <w:rFonts w:ascii="楷体_GB2312" w:eastAsia="楷体_GB2312" w:hAnsi="宋体" w:cs="宋体" w:hint="eastAsia"/>
          <w:color w:val="000000"/>
          <w:kern w:val="0"/>
          <w:sz w:val="32"/>
          <w:szCs w:val="32"/>
        </w:rPr>
        <w:t>两基地建设加快推进。</w:t>
      </w:r>
      <w:r w:rsidR="00E71D71" w:rsidRPr="00CA5A42">
        <w:rPr>
          <w:rFonts w:ascii="仿宋_GB2312" w:eastAsia="仿宋_GB2312" w:hint="eastAsia"/>
          <w:sz w:val="32"/>
          <w:szCs w:val="32"/>
        </w:rPr>
        <w:t>中哈物流基地成效明显。</w:t>
      </w:r>
      <w:r w:rsidR="00E71D71" w:rsidRPr="005B1326">
        <w:rPr>
          <w:rFonts w:ascii="仿宋_GB2312" w:eastAsia="仿宋_GB2312" w:hint="eastAsia"/>
          <w:sz w:val="32"/>
          <w:szCs w:val="32"/>
        </w:rPr>
        <w:t>连云港与哈方不断推进合作发展升级，采用“一园三区”方式共建中哈物流园。中哈物流合作基地项目一期建成启用，</w:t>
      </w:r>
      <w:r w:rsidR="00E71D71" w:rsidRPr="005B1326">
        <w:rPr>
          <w:rFonts w:ascii="仿宋_GB2312" w:eastAsia="仿宋_GB2312"/>
          <w:sz w:val="32"/>
          <w:szCs w:val="32"/>
        </w:rPr>
        <w:t>连云港口岸哈国过境小麦方案通过国家质检总局评审，中哈物流基地粮食仓库硬件设施建设</w:t>
      </w:r>
      <w:r w:rsidR="00E71D71" w:rsidRPr="005B1326">
        <w:rPr>
          <w:rFonts w:ascii="仿宋_GB2312" w:eastAsia="仿宋_GB2312" w:hint="eastAsia"/>
          <w:sz w:val="32"/>
          <w:szCs w:val="32"/>
        </w:rPr>
        <w:t>基本</w:t>
      </w:r>
      <w:r w:rsidR="00E71D71" w:rsidRPr="005B1326">
        <w:rPr>
          <w:rFonts w:ascii="仿宋_GB2312" w:eastAsia="仿宋_GB2312"/>
          <w:sz w:val="32"/>
          <w:szCs w:val="32"/>
        </w:rPr>
        <w:t>完成</w:t>
      </w:r>
      <w:r w:rsidR="00E71D71" w:rsidRPr="005B1326">
        <w:rPr>
          <w:rFonts w:ascii="仿宋_GB2312" w:eastAsia="仿宋_GB2312" w:hint="eastAsia"/>
          <w:sz w:val="32"/>
          <w:szCs w:val="32"/>
        </w:rPr>
        <w:t>。上合组织出海基地</w:t>
      </w:r>
      <w:r w:rsidR="00F44859">
        <w:rPr>
          <w:rFonts w:ascii="仿宋_GB2312" w:eastAsia="仿宋_GB2312" w:hint="eastAsia"/>
          <w:sz w:val="32"/>
          <w:szCs w:val="32"/>
        </w:rPr>
        <w:t>建设</w:t>
      </w:r>
      <w:r w:rsidR="00E71D71">
        <w:rPr>
          <w:rFonts w:ascii="仿宋_GB2312" w:eastAsia="仿宋_GB2312" w:hint="eastAsia"/>
          <w:sz w:val="32"/>
          <w:szCs w:val="32"/>
        </w:rPr>
        <w:t>加快</w:t>
      </w:r>
      <w:r w:rsidR="00E71D71" w:rsidRPr="005B1326">
        <w:rPr>
          <w:rFonts w:ascii="仿宋_GB2312" w:eastAsia="仿宋_GB2312" w:hint="eastAsia"/>
          <w:sz w:val="32"/>
          <w:szCs w:val="32"/>
        </w:rPr>
        <w:t>。规划建设上合组织成员国特色产品商贸物流园，形成上合组织成员国面向日韩和我国东中部区域的产品展示窗口和交易中心。</w:t>
      </w:r>
    </w:p>
    <w:p w:rsidR="00E71D71" w:rsidRPr="00E71D71" w:rsidRDefault="00E71D71" w:rsidP="009262F8">
      <w:pPr>
        <w:spacing w:line="560" w:lineRule="exact"/>
        <w:ind w:firstLineChars="200" w:firstLine="640"/>
        <w:rPr>
          <w:rFonts w:ascii="Times New Roman" w:eastAsia="黑体" w:hAnsi="黑体" w:cs="宋体"/>
          <w:kern w:val="0"/>
          <w:sz w:val="32"/>
          <w:szCs w:val="32"/>
        </w:rPr>
      </w:pPr>
      <w:r w:rsidRPr="00034BF3">
        <w:rPr>
          <w:rFonts w:ascii="楷体_GB2312" w:eastAsia="楷体_GB2312" w:hAnsi="宋体" w:cs="宋体"/>
          <w:color w:val="000000"/>
          <w:kern w:val="0"/>
          <w:sz w:val="32"/>
          <w:szCs w:val="32"/>
        </w:rPr>
        <w:t>建成进口商品保税交易中心</w:t>
      </w:r>
      <w:r w:rsidRPr="00034BF3">
        <w:rPr>
          <w:rFonts w:ascii="楷体_GB2312" w:eastAsia="楷体_GB2312" w:hAnsi="宋体" w:cs="宋体" w:hint="eastAsia"/>
          <w:color w:val="000000"/>
          <w:kern w:val="0"/>
          <w:sz w:val="32"/>
          <w:szCs w:val="32"/>
        </w:rPr>
        <w:t>。</w:t>
      </w:r>
      <w:r w:rsidRPr="005B1326">
        <w:rPr>
          <w:rFonts w:ascii="仿宋_GB2312" w:eastAsia="仿宋_GB2312"/>
          <w:sz w:val="32"/>
          <w:szCs w:val="32"/>
        </w:rPr>
        <w:t>全省第一家进口商品保税交易中心</w:t>
      </w:r>
      <w:r w:rsidR="00034BF3" w:rsidRPr="005B1326">
        <w:rPr>
          <w:rFonts w:ascii="仿宋_GB2312" w:eastAsia="仿宋_GB2312"/>
          <w:sz w:val="32"/>
          <w:szCs w:val="32"/>
        </w:rPr>
        <w:t>建成</w:t>
      </w:r>
      <w:r w:rsidRPr="005B1326">
        <w:rPr>
          <w:rFonts w:ascii="仿宋_GB2312" w:eastAsia="仿宋_GB2312"/>
          <w:sz w:val="32"/>
          <w:szCs w:val="32"/>
        </w:rPr>
        <w:t>，跨境电子商务发展迅速，获批开展除网购保税进口模式以外的一般进口、一般出口、保税出口等各类跨境贸易电子商务试点。</w:t>
      </w:r>
    </w:p>
    <w:p w:rsidR="00B74B05" w:rsidRPr="0089118C" w:rsidRDefault="00C86179" w:rsidP="009262F8">
      <w:pPr>
        <w:widowControl/>
        <w:shd w:val="clear" w:color="auto" w:fill="FFFFFF"/>
        <w:spacing w:before="100" w:beforeAutospacing="1" w:after="100" w:afterAutospacing="1" w:line="560" w:lineRule="exact"/>
        <w:ind w:firstLineChars="200" w:firstLine="640"/>
        <w:rPr>
          <w:rFonts w:ascii="宋体" w:eastAsia="宋体" w:hAnsi="宋体" w:cs="宋体"/>
          <w:kern w:val="0"/>
          <w:sz w:val="24"/>
          <w:szCs w:val="24"/>
        </w:rPr>
      </w:pPr>
      <w:r>
        <w:rPr>
          <w:rFonts w:ascii="Times New Roman" w:eastAsia="黑体" w:hAnsi="黑体" w:cs="宋体" w:hint="eastAsia"/>
          <w:kern w:val="0"/>
          <w:sz w:val="32"/>
          <w:szCs w:val="32"/>
        </w:rPr>
        <w:lastRenderedPageBreak/>
        <w:t>七</w:t>
      </w:r>
      <w:r w:rsidR="00B74B05" w:rsidRPr="0089118C">
        <w:rPr>
          <w:rFonts w:ascii="Times New Roman" w:eastAsia="黑体" w:hAnsi="黑体" w:cs="宋体" w:hint="eastAsia"/>
          <w:kern w:val="0"/>
          <w:sz w:val="32"/>
          <w:szCs w:val="32"/>
        </w:rPr>
        <w:t>、交通</w:t>
      </w:r>
      <w:r w:rsidR="00034BF3">
        <w:rPr>
          <w:rFonts w:ascii="Times New Roman" w:eastAsia="黑体" w:hAnsi="黑体" w:cs="宋体" w:hint="eastAsia"/>
          <w:kern w:val="0"/>
          <w:sz w:val="32"/>
          <w:szCs w:val="32"/>
        </w:rPr>
        <w:t>、邮电和旅游</w:t>
      </w:r>
    </w:p>
    <w:p w:rsidR="004752C5" w:rsidRDefault="0013303F" w:rsidP="009262F8">
      <w:pPr>
        <w:widowControl/>
        <w:shd w:val="clear" w:color="auto" w:fill="FFFFFF"/>
        <w:spacing w:before="100" w:beforeAutospacing="1" w:after="100" w:afterAutospacing="1" w:line="560" w:lineRule="exact"/>
        <w:ind w:firstLineChars="200" w:firstLine="640"/>
        <w:rPr>
          <w:rFonts w:ascii="仿宋_GB2312" w:eastAsia="仿宋_GB2312" w:hAnsi="宋体" w:cs="宋体"/>
          <w:color w:val="000000"/>
          <w:kern w:val="0"/>
          <w:sz w:val="32"/>
          <w:szCs w:val="32"/>
        </w:rPr>
      </w:pPr>
      <w:r w:rsidRPr="0013303F">
        <w:rPr>
          <w:rFonts w:ascii="楷体_GB2312" w:eastAsia="楷体_GB2312" w:hAnsi="宋体" w:cs="宋体"/>
          <w:color w:val="000000"/>
          <w:kern w:val="0"/>
          <w:sz w:val="32"/>
          <w:szCs w:val="32"/>
        </w:rPr>
        <w:t>组合大港基本形成</w:t>
      </w:r>
      <w:r w:rsidRPr="0013303F">
        <w:rPr>
          <w:rFonts w:ascii="楷体_GB2312" w:eastAsia="楷体_GB2312" w:hAnsi="宋体" w:cs="宋体" w:hint="eastAsia"/>
          <w:color w:val="000000"/>
          <w:kern w:val="0"/>
          <w:sz w:val="32"/>
          <w:szCs w:val="32"/>
        </w:rPr>
        <w:t>。</w:t>
      </w:r>
      <w:r w:rsidRPr="00367872">
        <w:rPr>
          <w:rFonts w:ascii="仿宋_GB2312" w:eastAsia="仿宋_GB2312" w:hAnsi="Calibri" w:cs="Times New Roman"/>
          <w:sz w:val="32"/>
          <w:szCs w:val="32"/>
        </w:rPr>
        <w:t>30万吨级深水航道一期工程建成，赣榆、灌河、徐圩两翼港区开港运营，综合通过能力达到</w:t>
      </w:r>
      <w:r w:rsidRPr="00367872">
        <w:rPr>
          <w:rFonts w:ascii="仿宋_GB2312" w:eastAsia="仿宋_GB2312" w:hAnsi="Calibri" w:cs="Times New Roman" w:hint="eastAsia"/>
          <w:sz w:val="32"/>
          <w:szCs w:val="32"/>
        </w:rPr>
        <w:t>了</w:t>
      </w:r>
      <w:r w:rsidRPr="00367872">
        <w:rPr>
          <w:rFonts w:ascii="仿宋_GB2312" w:eastAsia="仿宋_GB2312" w:hAnsi="Calibri" w:cs="Times New Roman"/>
          <w:sz w:val="32"/>
          <w:szCs w:val="32"/>
        </w:rPr>
        <w:t>1.6亿吨</w:t>
      </w:r>
      <w:r w:rsidRPr="00367872">
        <w:rPr>
          <w:rFonts w:ascii="仿宋_GB2312" w:eastAsia="仿宋_GB2312" w:hAnsi="Calibri" w:cs="Times New Roman" w:hint="eastAsia"/>
          <w:sz w:val="32"/>
          <w:szCs w:val="32"/>
        </w:rPr>
        <w:t>。</w:t>
      </w:r>
      <w:r w:rsidRPr="00722089">
        <w:rPr>
          <w:rFonts w:ascii="仿宋_GB2312" w:eastAsia="仿宋_GB2312" w:hAnsi="Calibri" w:cs="Times New Roman"/>
          <w:sz w:val="32"/>
          <w:szCs w:val="32"/>
        </w:rPr>
        <w:t>东疏港、大港路中期改造工程、沈海高速赣榆柘汪互通、徐圩港区疏港公路建成启用，旗台作业区铁路专用线实现通车，</w:t>
      </w:r>
      <w:r w:rsidRPr="00367872">
        <w:rPr>
          <w:rFonts w:ascii="仿宋_GB2312" w:eastAsia="仿宋_GB2312" w:hAnsi="Calibri" w:cs="Times New Roman"/>
          <w:sz w:val="32"/>
          <w:szCs w:val="32"/>
        </w:rPr>
        <w:t>疏港航道、盐河航道建成通航，</w:t>
      </w:r>
      <w:r w:rsidRPr="00722089">
        <w:rPr>
          <w:rFonts w:ascii="仿宋_GB2312" w:eastAsia="仿宋_GB2312" w:hAnsi="Calibri" w:cs="Times New Roman"/>
          <w:sz w:val="32"/>
          <w:szCs w:val="32"/>
        </w:rPr>
        <w:t>公路港、内河港实现运营，</w:t>
      </w:r>
      <w:r w:rsidRPr="00367872">
        <w:rPr>
          <w:rFonts w:ascii="仿宋_GB2312" w:eastAsia="仿宋_GB2312" w:hAnsi="Calibri" w:cs="Times New Roman"/>
          <w:sz w:val="32"/>
          <w:szCs w:val="32"/>
        </w:rPr>
        <w:t>千吨级船舶直通京杭大运河</w:t>
      </w:r>
      <w:r>
        <w:rPr>
          <w:rFonts w:ascii="仿宋_GB2312" w:eastAsia="仿宋_GB2312" w:hAnsi="Calibri" w:cs="Times New Roman" w:hint="eastAsia"/>
          <w:sz w:val="32"/>
          <w:szCs w:val="32"/>
        </w:rPr>
        <w:t>，</w:t>
      </w:r>
      <w:r w:rsidRPr="00722089">
        <w:rPr>
          <w:rFonts w:ascii="仿宋_GB2312" w:eastAsia="仿宋_GB2312" w:hAnsi="Calibri" w:cs="Times New Roman"/>
          <w:sz w:val="32"/>
          <w:szCs w:val="32"/>
        </w:rPr>
        <w:t>集疏运体系日益完善。</w:t>
      </w:r>
      <w:r w:rsidR="00C34B6C" w:rsidRPr="00C86179">
        <w:rPr>
          <w:rFonts w:ascii="仿宋_GB2312" w:eastAsia="仿宋_GB2312" w:hAnsi="宋体" w:cs="宋体" w:hint="eastAsia"/>
          <w:color w:val="000000"/>
          <w:kern w:val="0"/>
          <w:sz w:val="32"/>
          <w:szCs w:val="32"/>
        </w:rPr>
        <w:t>全</w:t>
      </w:r>
      <w:r w:rsidR="00B74B05" w:rsidRPr="00C86179">
        <w:rPr>
          <w:rFonts w:ascii="仿宋_GB2312" w:eastAsia="仿宋_GB2312" w:hAnsi="宋体" w:cs="宋体" w:hint="eastAsia"/>
          <w:color w:val="000000"/>
          <w:kern w:val="0"/>
          <w:sz w:val="32"/>
          <w:szCs w:val="32"/>
        </w:rPr>
        <w:t>年港口货物吞吐量2.</w:t>
      </w:r>
      <w:r w:rsidR="00C34B6C" w:rsidRPr="00C86179">
        <w:rPr>
          <w:rFonts w:ascii="仿宋_GB2312" w:eastAsia="仿宋_GB2312" w:hAnsi="宋体" w:cs="宋体" w:hint="eastAsia"/>
          <w:color w:val="000000"/>
          <w:kern w:val="0"/>
          <w:sz w:val="32"/>
          <w:szCs w:val="32"/>
        </w:rPr>
        <w:t>2</w:t>
      </w:r>
      <w:r w:rsidR="00B74B05" w:rsidRPr="00C86179">
        <w:rPr>
          <w:rFonts w:ascii="仿宋_GB2312" w:eastAsia="仿宋_GB2312" w:hAnsi="宋体" w:cs="宋体" w:hint="eastAsia"/>
          <w:color w:val="000000"/>
          <w:kern w:val="0"/>
          <w:sz w:val="32"/>
          <w:szCs w:val="32"/>
        </w:rPr>
        <w:t>1亿吨，增长</w:t>
      </w:r>
      <w:r w:rsidR="00C34B6C" w:rsidRPr="00C86179">
        <w:rPr>
          <w:rFonts w:ascii="仿宋_GB2312" w:eastAsia="仿宋_GB2312" w:hAnsi="宋体" w:cs="宋体" w:hint="eastAsia"/>
          <w:color w:val="000000"/>
          <w:kern w:val="0"/>
          <w:sz w:val="32"/>
          <w:szCs w:val="32"/>
        </w:rPr>
        <w:t>5.0</w:t>
      </w:r>
      <w:r w:rsidR="00B74B05" w:rsidRPr="00C86179">
        <w:rPr>
          <w:rFonts w:ascii="仿宋_GB2312" w:eastAsia="仿宋_GB2312" w:hAnsi="宋体" w:cs="宋体" w:hint="eastAsia"/>
          <w:color w:val="000000"/>
          <w:kern w:val="0"/>
          <w:sz w:val="32"/>
          <w:szCs w:val="32"/>
        </w:rPr>
        <w:t>%。</w:t>
      </w:r>
    </w:p>
    <w:p w:rsidR="0013303F" w:rsidRPr="00C86179" w:rsidRDefault="0013303F" w:rsidP="009262F8">
      <w:pPr>
        <w:widowControl/>
        <w:shd w:val="clear" w:color="auto" w:fill="FFFFFF"/>
        <w:spacing w:before="100" w:beforeAutospacing="1" w:after="100" w:afterAutospacing="1" w:line="560" w:lineRule="exact"/>
        <w:ind w:firstLineChars="200" w:firstLine="640"/>
        <w:rPr>
          <w:rFonts w:ascii="仿宋_GB2312" w:eastAsia="仿宋_GB2312" w:hAnsi="Arial" w:cs="Arial"/>
          <w:color w:val="353535"/>
          <w:kern w:val="0"/>
          <w:szCs w:val="21"/>
        </w:rPr>
      </w:pPr>
      <w:r w:rsidRPr="00E71B2D">
        <w:rPr>
          <w:rFonts w:ascii="楷体_GB2312" w:eastAsia="楷体_GB2312" w:hAnsi="宋体" w:cs="宋体" w:hint="eastAsia"/>
          <w:color w:val="000000"/>
          <w:kern w:val="0"/>
          <w:sz w:val="32"/>
          <w:szCs w:val="32"/>
        </w:rPr>
        <w:t>铁路建设全面提速。</w:t>
      </w:r>
      <w:r w:rsidRPr="00367872">
        <w:rPr>
          <w:rFonts w:ascii="仿宋_GB2312" w:eastAsia="仿宋_GB2312" w:hAnsi="Calibri" w:cs="Times New Roman"/>
          <w:sz w:val="32"/>
          <w:szCs w:val="32"/>
        </w:rPr>
        <w:t>连盐、连淮扬镇、连青铁路</w:t>
      </w:r>
      <w:r w:rsidRPr="00367872">
        <w:rPr>
          <w:rFonts w:ascii="仿宋_GB2312" w:eastAsia="仿宋_GB2312" w:hAnsi="Calibri" w:cs="Times New Roman" w:hint="eastAsia"/>
          <w:sz w:val="32"/>
          <w:szCs w:val="32"/>
        </w:rPr>
        <w:t>建设进展顺利。江苏“十三五”开工建设的第一个重大铁路项目--</w:t>
      </w:r>
      <w:r w:rsidR="00673CF3">
        <w:rPr>
          <w:rFonts w:ascii="仿宋_GB2312" w:eastAsia="仿宋_GB2312" w:hAnsi="Calibri" w:cs="Times New Roman" w:hint="eastAsia"/>
          <w:sz w:val="32"/>
          <w:szCs w:val="32"/>
        </w:rPr>
        <w:t>-</w:t>
      </w:r>
      <w:r w:rsidRPr="00367872">
        <w:rPr>
          <w:rFonts w:ascii="仿宋_GB2312" w:eastAsia="仿宋_GB2312" w:hAnsi="Calibri" w:cs="Times New Roman" w:hint="eastAsia"/>
          <w:sz w:val="32"/>
          <w:szCs w:val="32"/>
        </w:rPr>
        <w:t>徐连高铁东接在建的连盐铁路和连</w:t>
      </w:r>
      <w:r w:rsidRPr="00367872">
        <w:rPr>
          <w:rFonts w:ascii="仿宋_GB2312" w:eastAsia="仿宋_GB2312" w:hAnsi="Calibri" w:cs="Times New Roman"/>
          <w:sz w:val="32"/>
          <w:szCs w:val="32"/>
        </w:rPr>
        <w:t>淮扬</w:t>
      </w:r>
      <w:r w:rsidRPr="00367872">
        <w:rPr>
          <w:rFonts w:ascii="仿宋_GB2312" w:eastAsia="仿宋_GB2312" w:hAnsi="Calibri" w:cs="Times New Roman" w:hint="eastAsia"/>
          <w:sz w:val="32"/>
          <w:szCs w:val="32"/>
        </w:rPr>
        <w:t>镇铁路，西连在建的徐盐铁路，高效便捷、内联外通的高铁路网</w:t>
      </w:r>
      <w:r w:rsidR="004D6786">
        <w:rPr>
          <w:rFonts w:ascii="仿宋_GB2312" w:eastAsia="仿宋_GB2312" w:hAnsi="Calibri" w:cs="Times New Roman" w:hint="eastAsia"/>
          <w:sz w:val="32"/>
          <w:szCs w:val="32"/>
        </w:rPr>
        <w:t>加快</w:t>
      </w:r>
      <w:r w:rsidRPr="00367872">
        <w:rPr>
          <w:rFonts w:ascii="仿宋_GB2312" w:eastAsia="仿宋_GB2312" w:hAnsi="Calibri" w:cs="Times New Roman" w:hint="eastAsia"/>
          <w:sz w:val="32"/>
          <w:szCs w:val="32"/>
        </w:rPr>
        <w:t>形成。</w:t>
      </w:r>
      <w:r w:rsidRPr="00406B2B">
        <w:rPr>
          <w:rFonts w:ascii="仿宋_GB2312" w:eastAsia="仿宋_GB2312" w:hAnsi="Calibri" w:cs="Times New Roman" w:hint="eastAsia"/>
          <w:sz w:val="32"/>
          <w:szCs w:val="32"/>
        </w:rPr>
        <w:t>连云港</w:t>
      </w:r>
      <w:r w:rsidRPr="00406B2B">
        <w:rPr>
          <w:rFonts w:ascii="仿宋_GB2312" w:eastAsia="仿宋_GB2312" w:hAnsi="Calibri" w:cs="Times New Roman"/>
          <w:sz w:val="32"/>
          <w:szCs w:val="32"/>
        </w:rPr>
        <w:t>境内铁路货运呈现明显积极变化，全年铁路货运量达4528.11万吨，增长9.1%</w:t>
      </w:r>
      <w:r w:rsidR="00713468">
        <w:rPr>
          <w:rFonts w:ascii="仿宋_GB2312" w:eastAsia="仿宋_GB2312" w:hint="eastAsia"/>
          <w:sz w:val="32"/>
          <w:szCs w:val="32"/>
        </w:rPr>
        <w:t>；</w:t>
      </w:r>
      <w:r w:rsidRPr="00055D23">
        <w:rPr>
          <w:rFonts w:ascii="仿宋_GB2312" w:eastAsia="仿宋_GB2312" w:hAnsi="Calibri" w:cs="Times New Roman"/>
          <w:sz w:val="32"/>
          <w:szCs w:val="32"/>
        </w:rPr>
        <w:t>境内铁路客运总量403.33万人次，下降12.5%。</w:t>
      </w:r>
    </w:p>
    <w:p w:rsidR="00B74B05" w:rsidRPr="00C86179" w:rsidRDefault="00B74B05" w:rsidP="009262F8">
      <w:pPr>
        <w:widowControl/>
        <w:shd w:val="clear" w:color="auto" w:fill="FFFFFF"/>
        <w:spacing w:before="100" w:beforeAutospacing="1" w:after="100" w:afterAutospacing="1" w:line="560" w:lineRule="exact"/>
        <w:ind w:firstLineChars="200" w:firstLine="640"/>
        <w:rPr>
          <w:rFonts w:ascii="仿宋_GB2312" w:eastAsia="仿宋_GB2312" w:hAnsi="宋体" w:cs="宋体"/>
          <w:color w:val="000000"/>
          <w:kern w:val="0"/>
          <w:sz w:val="32"/>
          <w:szCs w:val="32"/>
        </w:rPr>
      </w:pPr>
      <w:r w:rsidRPr="00E71B2D">
        <w:rPr>
          <w:rFonts w:ascii="楷体_GB2312" w:eastAsia="楷体_GB2312" w:hAnsi="宋体" w:cs="宋体" w:hint="eastAsia"/>
          <w:color w:val="000000"/>
          <w:kern w:val="0"/>
          <w:sz w:val="32"/>
          <w:szCs w:val="32"/>
        </w:rPr>
        <w:t>交通运输平稳运行。</w:t>
      </w:r>
      <w:r w:rsidR="00312463" w:rsidRPr="00312463">
        <w:rPr>
          <w:rFonts w:ascii="仿宋_GB2312" w:eastAsia="仿宋_GB2312" w:hAnsi="Calibri" w:cs="Times New Roman" w:hint="eastAsia"/>
          <w:sz w:val="32"/>
          <w:szCs w:val="32"/>
        </w:rPr>
        <w:t>全市地方公路客运量4654 万人次，旅客周转量33.33亿人公里，分别下降1.0和1.3%</w:t>
      </w:r>
      <w:r w:rsidR="006D3C62">
        <w:rPr>
          <w:rFonts w:ascii="仿宋_GB2312" w:eastAsia="仿宋_GB2312" w:hAnsi="Calibri" w:cs="Times New Roman" w:hint="eastAsia"/>
          <w:sz w:val="32"/>
          <w:szCs w:val="32"/>
        </w:rPr>
        <w:t>；</w:t>
      </w:r>
      <w:r w:rsidR="00312463" w:rsidRPr="00312463">
        <w:rPr>
          <w:rFonts w:ascii="仿宋_GB2312" w:eastAsia="仿宋_GB2312" w:hAnsi="Calibri" w:cs="Times New Roman" w:hint="eastAsia"/>
          <w:sz w:val="32"/>
          <w:szCs w:val="32"/>
        </w:rPr>
        <w:t>地方公路货运量8378万吨，货运周转量161.07亿吨公里，增长均为2.0 %</w:t>
      </w:r>
      <w:r w:rsidR="006D3C62">
        <w:rPr>
          <w:rFonts w:ascii="仿宋_GB2312" w:eastAsia="仿宋_GB2312" w:hAnsi="Calibri" w:cs="Times New Roman" w:hint="eastAsia"/>
          <w:sz w:val="32"/>
          <w:szCs w:val="32"/>
        </w:rPr>
        <w:t>。</w:t>
      </w:r>
      <w:r w:rsidR="00312463" w:rsidRPr="00312463">
        <w:rPr>
          <w:rFonts w:ascii="仿宋_GB2312" w:eastAsia="仿宋_GB2312" w:hAnsi="Calibri" w:cs="Times New Roman" w:hint="eastAsia"/>
          <w:sz w:val="32"/>
          <w:szCs w:val="32"/>
        </w:rPr>
        <w:t>地方水路货运量1837万吨,增长0.6%，货运周转量144.36亿吨公里，增长7.1%。</w:t>
      </w:r>
      <w:r w:rsidR="00C86179" w:rsidRPr="00312463">
        <w:rPr>
          <w:rFonts w:ascii="仿宋_GB2312" w:eastAsia="仿宋_GB2312" w:hAnsi="Calibri" w:cs="Times New Roman" w:hint="eastAsia"/>
          <w:sz w:val="32"/>
          <w:szCs w:val="32"/>
        </w:rPr>
        <w:t>民航新开通了昆明、石家庄及南宁等3条航线，</w:t>
      </w:r>
      <w:r w:rsidR="006D3C62">
        <w:rPr>
          <w:rFonts w:ascii="仿宋_GB2312" w:eastAsia="仿宋_GB2312" w:hAnsi="Calibri" w:cs="Times New Roman" w:hint="eastAsia"/>
          <w:sz w:val="32"/>
          <w:szCs w:val="32"/>
        </w:rPr>
        <w:t>年末航线</w:t>
      </w:r>
      <w:r w:rsidR="00C86179" w:rsidRPr="00312463">
        <w:rPr>
          <w:rFonts w:ascii="仿宋_GB2312" w:eastAsia="仿宋_GB2312" w:hAnsi="Calibri" w:cs="Times New Roman" w:hint="eastAsia"/>
          <w:sz w:val="32"/>
          <w:szCs w:val="32"/>
        </w:rPr>
        <w:t>达到23条</w:t>
      </w:r>
      <w:r w:rsidR="006D3C62">
        <w:rPr>
          <w:rFonts w:ascii="仿宋_GB2312" w:eastAsia="仿宋_GB2312" w:hAnsi="Calibri" w:cs="Times New Roman" w:hint="eastAsia"/>
          <w:sz w:val="32"/>
          <w:szCs w:val="32"/>
        </w:rPr>
        <w:t>，</w:t>
      </w:r>
      <w:r w:rsidR="00C86179" w:rsidRPr="00312463">
        <w:rPr>
          <w:rFonts w:ascii="仿宋_GB2312" w:eastAsia="仿宋_GB2312" w:hAnsi="Calibri" w:cs="Times New Roman" w:hint="eastAsia"/>
          <w:sz w:val="32"/>
          <w:szCs w:val="32"/>
        </w:rPr>
        <w:t>民航机场飞</w:t>
      </w:r>
      <w:r w:rsidR="00C86179" w:rsidRPr="00C86179">
        <w:rPr>
          <w:rFonts w:ascii="仿宋_GB2312" w:eastAsia="仿宋_GB2312" w:hAnsi="宋体" w:cs="宋体" w:hint="eastAsia"/>
          <w:color w:val="000000"/>
          <w:kern w:val="0"/>
          <w:sz w:val="32"/>
          <w:szCs w:val="32"/>
        </w:rPr>
        <w:t>机起降9322架次，增长19.5%；民航机场旅客吞吐量85.1万人次，增长20.0%。</w:t>
      </w:r>
    </w:p>
    <w:p w:rsidR="00F14DFF" w:rsidRDefault="00B74B05" w:rsidP="00F14DFF">
      <w:pPr>
        <w:widowControl/>
        <w:shd w:val="clear" w:color="auto" w:fill="FFFFFF"/>
        <w:spacing w:before="100" w:beforeAutospacing="1" w:after="100" w:afterAutospacing="1" w:line="560" w:lineRule="exact"/>
        <w:ind w:firstLineChars="200" w:firstLine="640"/>
        <w:rPr>
          <w:rFonts w:ascii="仿宋_GB2312" w:eastAsia="仿宋_GB2312" w:hAnsi="宋体" w:cs="宋体"/>
          <w:color w:val="000000"/>
          <w:kern w:val="0"/>
          <w:sz w:val="32"/>
          <w:szCs w:val="32"/>
        </w:rPr>
      </w:pPr>
      <w:r w:rsidRPr="00B74B05">
        <w:rPr>
          <w:rFonts w:ascii="楷体_GB2312" w:eastAsia="楷体_GB2312" w:hAnsi="宋体" w:cs="宋体" w:hint="eastAsia"/>
          <w:color w:val="000000"/>
          <w:kern w:val="0"/>
          <w:sz w:val="32"/>
          <w:szCs w:val="32"/>
        </w:rPr>
        <w:lastRenderedPageBreak/>
        <w:t>邮政通讯业务</w:t>
      </w:r>
      <w:r w:rsidR="00F50335" w:rsidRPr="00B74B05">
        <w:rPr>
          <w:rFonts w:ascii="楷体_GB2312" w:eastAsia="楷体_GB2312" w:hAnsi="宋体" w:cs="宋体" w:hint="eastAsia"/>
          <w:color w:val="000000"/>
          <w:kern w:val="0"/>
          <w:sz w:val="32"/>
          <w:szCs w:val="32"/>
        </w:rPr>
        <w:t>较快</w:t>
      </w:r>
      <w:r w:rsidRPr="00B74B05">
        <w:rPr>
          <w:rFonts w:ascii="楷体_GB2312" w:eastAsia="楷体_GB2312" w:hAnsi="宋体" w:cs="宋体" w:hint="eastAsia"/>
          <w:color w:val="000000"/>
          <w:kern w:val="0"/>
          <w:sz w:val="32"/>
          <w:szCs w:val="32"/>
        </w:rPr>
        <w:t>增长。</w:t>
      </w:r>
      <w:r w:rsidR="00C34B6C" w:rsidRPr="00034BF3">
        <w:rPr>
          <w:rFonts w:ascii="仿宋_GB2312" w:eastAsia="仿宋_GB2312" w:hAnsi="宋体" w:cs="宋体" w:hint="eastAsia"/>
          <w:color w:val="000000"/>
          <w:kern w:val="0"/>
          <w:sz w:val="32"/>
          <w:szCs w:val="32"/>
        </w:rPr>
        <w:t>全</w:t>
      </w:r>
      <w:r w:rsidRPr="00034BF3">
        <w:rPr>
          <w:rFonts w:ascii="仿宋_GB2312" w:eastAsia="仿宋_GB2312" w:hAnsi="宋体" w:cs="宋体" w:hint="eastAsia"/>
          <w:color w:val="000000"/>
          <w:kern w:val="0"/>
          <w:sz w:val="32"/>
          <w:szCs w:val="32"/>
        </w:rPr>
        <w:t>年邮政通讯</w:t>
      </w:r>
      <w:r w:rsidR="00C34B6C" w:rsidRPr="00034BF3">
        <w:rPr>
          <w:rFonts w:ascii="仿宋_GB2312" w:eastAsia="仿宋_GB2312" w:hAnsi="宋体" w:cs="宋体" w:hint="eastAsia"/>
          <w:color w:val="000000"/>
          <w:kern w:val="0"/>
          <w:sz w:val="32"/>
          <w:szCs w:val="32"/>
        </w:rPr>
        <w:t>总</w:t>
      </w:r>
      <w:r w:rsidRPr="00034BF3">
        <w:rPr>
          <w:rFonts w:ascii="仿宋_GB2312" w:eastAsia="仿宋_GB2312" w:hAnsi="宋体" w:cs="宋体" w:hint="eastAsia"/>
          <w:color w:val="000000"/>
          <w:kern w:val="0"/>
          <w:sz w:val="32"/>
          <w:szCs w:val="32"/>
        </w:rPr>
        <w:t>收入</w:t>
      </w:r>
      <w:r w:rsidR="00C34B6C" w:rsidRPr="00034BF3">
        <w:rPr>
          <w:rFonts w:ascii="仿宋_GB2312" w:eastAsia="仿宋_GB2312" w:hAnsi="宋体" w:cs="宋体" w:hint="eastAsia"/>
          <w:color w:val="000000"/>
          <w:kern w:val="0"/>
          <w:sz w:val="32"/>
          <w:szCs w:val="32"/>
        </w:rPr>
        <w:t>42.27</w:t>
      </w:r>
      <w:r w:rsidRPr="00034BF3">
        <w:rPr>
          <w:rFonts w:ascii="仿宋_GB2312" w:eastAsia="仿宋_GB2312" w:hAnsi="宋体" w:cs="宋体" w:hint="eastAsia"/>
          <w:color w:val="000000"/>
          <w:kern w:val="0"/>
          <w:sz w:val="32"/>
          <w:szCs w:val="32"/>
        </w:rPr>
        <w:t>亿元，增长</w:t>
      </w:r>
      <w:r w:rsidR="00C34B6C" w:rsidRPr="00034BF3">
        <w:rPr>
          <w:rFonts w:ascii="仿宋_GB2312" w:eastAsia="仿宋_GB2312" w:hAnsi="宋体" w:cs="宋体" w:hint="eastAsia"/>
          <w:color w:val="000000"/>
          <w:kern w:val="0"/>
          <w:sz w:val="32"/>
          <w:szCs w:val="32"/>
        </w:rPr>
        <w:t>9.1</w:t>
      </w:r>
      <w:r w:rsidRPr="00034BF3">
        <w:rPr>
          <w:rFonts w:ascii="仿宋_GB2312" w:eastAsia="仿宋_GB2312" w:hAnsi="宋体" w:cs="宋体" w:hint="eastAsia"/>
          <w:color w:val="000000"/>
          <w:kern w:val="0"/>
          <w:sz w:val="32"/>
          <w:szCs w:val="32"/>
        </w:rPr>
        <w:t>%。其中</w:t>
      </w:r>
      <w:r w:rsidR="00C34B6C" w:rsidRPr="00034BF3">
        <w:rPr>
          <w:rFonts w:ascii="仿宋_GB2312" w:eastAsia="仿宋_GB2312" w:hAnsi="宋体" w:cs="宋体" w:hint="eastAsia"/>
          <w:color w:val="000000"/>
          <w:kern w:val="0"/>
          <w:sz w:val="32"/>
          <w:szCs w:val="32"/>
        </w:rPr>
        <w:t>，</w:t>
      </w:r>
      <w:r w:rsidRPr="00034BF3">
        <w:rPr>
          <w:rFonts w:ascii="仿宋_GB2312" w:eastAsia="仿宋_GB2312" w:hAnsi="宋体" w:cs="宋体" w:hint="eastAsia"/>
          <w:color w:val="000000"/>
          <w:kern w:val="0"/>
          <w:sz w:val="32"/>
          <w:szCs w:val="32"/>
        </w:rPr>
        <w:t>邮政</w:t>
      </w:r>
      <w:r w:rsidR="00C34B6C" w:rsidRPr="00034BF3">
        <w:rPr>
          <w:rFonts w:ascii="仿宋_GB2312" w:eastAsia="仿宋_GB2312" w:hAnsi="宋体" w:cs="宋体" w:hint="eastAsia"/>
          <w:color w:val="000000"/>
          <w:kern w:val="0"/>
          <w:sz w:val="32"/>
          <w:szCs w:val="32"/>
        </w:rPr>
        <w:t>速</w:t>
      </w:r>
      <w:r w:rsidRPr="00034BF3">
        <w:rPr>
          <w:rFonts w:ascii="仿宋_GB2312" w:eastAsia="仿宋_GB2312" w:hAnsi="宋体" w:cs="宋体" w:hint="eastAsia"/>
          <w:color w:val="000000"/>
          <w:kern w:val="0"/>
          <w:sz w:val="32"/>
          <w:szCs w:val="32"/>
        </w:rPr>
        <w:t>递业务收入</w:t>
      </w:r>
      <w:r w:rsidR="00C34B6C" w:rsidRPr="00034BF3">
        <w:rPr>
          <w:rFonts w:ascii="仿宋_GB2312" w:eastAsia="仿宋_GB2312" w:hAnsi="宋体" w:cs="宋体" w:hint="eastAsia"/>
          <w:color w:val="000000"/>
          <w:kern w:val="0"/>
          <w:sz w:val="32"/>
          <w:szCs w:val="32"/>
        </w:rPr>
        <w:t>11.18</w:t>
      </w:r>
      <w:r w:rsidRPr="00034BF3">
        <w:rPr>
          <w:rFonts w:ascii="仿宋_GB2312" w:eastAsia="仿宋_GB2312" w:hAnsi="宋体" w:cs="宋体" w:hint="eastAsia"/>
          <w:color w:val="000000"/>
          <w:kern w:val="0"/>
          <w:sz w:val="32"/>
          <w:szCs w:val="32"/>
        </w:rPr>
        <w:t>亿元，增长</w:t>
      </w:r>
      <w:r w:rsidR="00C34B6C" w:rsidRPr="00034BF3">
        <w:rPr>
          <w:rFonts w:ascii="仿宋_GB2312" w:eastAsia="仿宋_GB2312" w:hAnsi="宋体" w:cs="宋体" w:hint="eastAsia"/>
          <w:color w:val="000000"/>
          <w:kern w:val="0"/>
          <w:sz w:val="32"/>
          <w:szCs w:val="32"/>
        </w:rPr>
        <w:t>18.4</w:t>
      </w:r>
      <w:r w:rsidRPr="00034BF3">
        <w:rPr>
          <w:rFonts w:ascii="仿宋_GB2312" w:eastAsia="仿宋_GB2312" w:hAnsi="宋体" w:cs="宋体" w:hint="eastAsia"/>
          <w:color w:val="000000"/>
          <w:kern w:val="0"/>
          <w:sz w:val="32"/>
          <w:szCs w:val="32"/>
        </w:rPr>
        <w:t>%</w:t>
      </w:r>
      <w:r w:rsidR="00C34B6C" w:rsidRPr="00034BF3">
        <w:rPr>
          <w:rFonts w:ascii="仿宋_GB2312" w:eastAsia="仿宋_GB2312" w:hAnsi="宋体" w:cs="宋体" w:hint="eastAsia"/>
          <w:color w:val="000000"/>
          <w:kern w:val="0"/>
          <w:sz w:val="32"/>
          <w:szCs w:val="32"/>
        </w:rPr>
        <w:t>；通讯业务总收入31.09亿元，增长6.0%</w:t>
      </w:r>
      <w:r w:rsidRPr="00034BF3">
        <w:rPr>
          <w:rFonts w:ascii="仿宋_GB2312" w:eastAsia="仿宋_GB2312" w:hAnsi="宋体" w:cs="宋体" w:hint="eastAsia"/>
          <w:color w:val="000000"/>
          <w:kern w:val="0"/>
          <w:sz w:val="32"/>
          <w:szCs w:val="32"/>
        </w:rPr>
        <w:t>。</w:t>
      </w:r>
      <w:r w:rsidR="009B163E" w:rsidRPr="00BD75F6">
        <w:rPr>
          <w:rFonts w:ascii="仿宋_GB2312" w:eastAsia="仿宋_GB2312" w:hAnsi="宋体" w:cs="宋体" w:hint="eastAsia"/>
          <w:color w:val="000000"/>
          <w:kern w:val="0"/>
          <w:sz w:val="32"/>
          <w:szCs w:val="32"/>
        </w:rPr>
        <w:t>年末，全市电话用户486.93万户，其中移动电话用户418.29万户。互联网用户404.33万户，增长12.9%，其中固定宽带接入用户119.07万户，增长7.6%。</w:t>
      </w:r>
    </w:p>
    <w:p w:rsidR="00034BF3" w:rsidRPr="00F14DFF" w:rsidRDefault="00034BF3" w:rsidP="00F14DFF">
      <w:pPr>
        <w:widowControl/>
        <w:shd w:val="clear" w:color="auto" w:fill="FFFFFF"/>
        <w:spacing w:before="100" w:beforeAutospacing="1" w:after="100" w:afterAutospacing="1" w:line="560" w:lineRule="exact"/>
        <w:ind w:firstLineChars="200" w:firstLine="640"/>
        <w:rPr>
          <w:rFonts w:ascii="仿宋_GB2312" w:eastAsia="仿宋_GB2312" w:hAnsi="宋体" w:cs="宋体"/>
          <w:color w:val="000000"/>
          <w:kern w:val="0"/>
          <w:sz w:val="32"/>
          <w:szCs w:val="32"/>
        </w:rPr>
      </w:pPr>
      <w:r w:rsidRPr="00034BF3">
        <w:rPr>
          <w:rFonts w:ascii="楷体_GB2312" w:eastAsia="楷体_GB2312" w:hAnsi="宋体" w:cs="宋体" w:hint="eastAsia"/>
          <w:color w:val="000000"/>
          <w:kern w:val="0"/>
          <w:sz w:val="32"/>
          <w:szCs w:val="32"/>
        </w:rPr>
        <w:t>旅游</w:t>
      </w:r>
      <w:r w:rsidR="00F50335">
        <w:rPr>
          <w:rFonts w:ascii="楷体_GB2312" w:eastAsia="楷体_GB2312" w:hAnsi="宋体" w:cs="宋体" w:hint="eastAsia"/>
          <w:color w:val="000000"/>
          <w:kern w:val="0"/>
          <w:sz w:val="32"/>
          <w:szCs w:val="32"/>
        </w:rPr>
        <w:t>业较快发展</w:t>
      </w:r>
      <w:r w:rsidRPr="00034BF3">
        <w:rPr>
          <w:rFonts w:ascii="楷体_GB2312" w:eastAsia="楷体_GB2312" w:hAnsi="宋体" w:cs="宋体" w:hint="eastAsia"/>
          <w:color w:val="000000"/>
          <w:kern w:val="0"/>
          <w:sz w:val="32"/>
          <w:szCs w:val="32"/>
        </w:rPr>
        <w:t>。</w:t>
      </w:r>
      <w:r w:rsidR="00875A8D" w:rsidRPr="00F14DFF">
        <w:rPr>
          <w:rFonts w:ascii="仿宋_GB2312" w:eastAsia="仿宋_GB2312" w:hAnsi="宋体" w:cs="宋体" w:hint="eastAsia"/>
          <w:color w:val="000000"/>
          <w:kern w:val="0"/>
          <w:sz w:val="32"/>
          <w:szCs w:val="32"/>
        </w:rPr>
        <w:t>全年实现旅游总收入</w:t>
      </w:r>
      <w:r w:rsidR="00875A8D" w:rsidRPr="00F14DFF">
        <w:rPr>
          <w:rFonts w:ascii="仿宋_GB2312" w:eastAsia="仿宋_GB2312" w:hAnsi="宋体" w:cs="宋体"/>
          <w:color w:val="000000"/>
          <w:kern w:val="0"/>
          <w:sz w:val="32"/>
          <w:szCs w:val="32"/>
        </w:rPr>
        <w:t>395.40</w:t>
      </w:r>
      <w:r w:rsidR="00875A8D" w:rsidRPr="00F14DFF">
        <w:rPr>
          <w:rFonts w:ascii="仿宋_GB2312" w:eastAsia="仿宋_GB2312" w:hAnsi="宋体" w:cs="宋体" w:hint="eastAsia"/>
          <w:color w:val="000000"/>
          <w:kern w:val="0"/>
          <w:sz w:val="32"/>
          <w:szCs w:val="32"/>
        </w:rPr>
        <w:t>亿元，增长</w:t>
      </w:r>
      <w:r w:rsidR="00875A8D" w:rsidRPr="00F14DFF">
        <w:rPr>
          <w:rFonts w:ascii="仿宋_GB2312" w:eastAsia="仿宋_GB2312" w:hAnsi="宋体" w:cs="宋体"/>
          <w:color w:val="000000"/>
          <w:kern w:val="0"/>
          <w:sz w:val="32"/>
          <w:szCs w:val="32"/>
        </w:rPr>
        <w:t>15.5%</w:t>
      </w:r>
      <w:r w:rsidR="00875A8D" w:rsidRPr="00F14DFF">
        <w:rPr>
          <w:rFonts w:ascii="仿宋_GB2312" w:eastAsia="仿宋_GB2312" w:hAnsi="宋体" w:cs="宋体" w:hint="eastAsia"/>
          <w:color w:val="000000"/>
          <w:kern w:val="0"/>
          <w:sz w:val="32"/>
          <w:szCs w:val="32"/>
        </w:rPr>
        <w:t>。</w:t>
      </w:r>
      <w:r w:rsidR="00F14DFF" w:rsidRPr="00F14DFF">
        <w:rPr>
          <w:rFonts w:ascii="仿宋_GB2312" w:eastAsia="仿宋_GB2312" w:hAnsi="宋体" w:cs="宋体" w:hint="eastAsia"/>
          <w:color w:val="000000"/>
          <w:kern w:val="0"/>
          <w:sz w:val="32"/>
          <w:szCs w:val="32"/>
        </w:rPr>
        <w:t>接待国内游客</w:t>
      </w:r>
      <w:r w:rsidR="00F14DFF">
        <w:rPr>
          <w:rFonts w:ascii="仿宋_GB2312" w:eastAsia="仿宋_GB2312" w:hAnsi="宋体" w:cs="宋体"/>
          <w:color w:val="000000"/>
          <w:kern w:val="0"/>
          <w:sz w:val="32"/>
          <w:szCs w:val="32"/>
        </w:rPr>
        <w:t>3011</w:t>
      </w:r>
      <w:r w:rsidR="00F14DFF" w:rsidRPr="00F14DFF">
        <w:rPr>
          <w:rFonts w:ascii="仿宋_GB2312" w:eastAsia="仿宋_GB2312" w:hAnsi="宋体" w:cs="宋体" w:hint="eastAsia"/>
          <w:color w:val="000000"/>
          <w:kern w:val="0"/>
          <w:sz w:val="32"/>
          <w:szCs w:val="32"/>
        </w:rPr>
        <w:t>万人次，增长</w:t>
      </w:r>
      <w:r w:rsidR="00F14DFF" w:rsidRPr="00F14DFF">
        <w:rPr>
          <w:rFonts w:ascii="仿宋_GB2312" w:eastAsia="仿宋_GB2312" w:hAnsi="宋体" w:cs="宋体"/>
          <w:color w:val="000000"/>
          <w:kern w:val="0"/>
          <w:sz w:val="32"/>
          <w:szCs w:val="32"/>
        </w:rPr>
        <w:t>12.2%</w:t>
      </w:r>
      <w:r w:rsidR="00F14DFF">
        <w:rPr>
          <w:rFonts w:ascii="仿宋_GB2312" w:eastAsia="仿宋_GB2312" w:hAnsi="宋体" w:cs="宋体" w:hint="eastAsia"/>
          <w:color w:val="000000"/>
          <w:kern w:val="0"/>
          <w:sz w:val="32"/>
          <w:szCs w:val="32"/>
        </w:rPr>
        <w:t>；</w:t>
      </w:r>
      <w:r w:rsidR="00F14DFF" w:rsidRPr="00F14DFF">
        <w:rPr>
          <w:rFonts w:ascii="仿宋_GB2312" w:eastAsia="仿宋_GB2312" w:hAnsi="宋体" w:cs="宋体" w:hint="eastAsia"/>
          <w:color w:val="000000"/>
          <w:kern w:val="0"/>
          <w:sz w:val="32"/>
          <w:szCs w:val="32"/>
        </w:rPr>
        <w:t>实现国内旅游收入</w:t>
      </w:r>
      <w:r w:rsidR="00F14DFF" w:rsidRPr="00F14DFF">
        <w:rPr>
          <w:rFonts w:ascii="仿宋_GB2312" w:eastAsia="仿宋_GB2312" w:hAnsi="宋体" w:cs="宋体"/>
          <w:color w:val="000000"/>
          <w:kern w:val="0"/>
          <w:sz w:val="32"/>
          <w:szCs w:val="32"/>
        </w:rPr>
        <w:t>391.58</w:t>
      </w:r>
      <w:r w:rsidR="00F14DFF" w:rsidRPr="00F14DFF">
        <w:rPr>
          <w:rFonts w:ascii="仿宋_GB2312" w:eastAsia="仿宋_GB2312" w:hAnsi="宋体" w:cs="宋体" w:hint="eastAsia"/>
          <w:color w:val="000000"/>
          <w:kern w:val="0"/>
          <w:sz w:val="32"/>
          <w:szCs w:val="32"/>
        </w:rPr>
        <w:t>亿元，增长</w:t>
      </w:r>
      <w:r w:rsidR="00F14DFF" w:rsidRPr="00F14DFF">
        <w:rPr>
          <w:rFonts w:ascii="仿宋_GB2312" w:eastAsia="仿宋_GB2312" w:hAnsi="宋体" w:cs="宋体"/>
          <w:color w:val="000000"/>
          <w:kern w:val="0"/>
          <w:sz w:val="32"/>
          <w:szCs w:val="32"/>
        </w:rPr>
        <w:t>15.6%</w:t>
      </w:r>
      <w:r w:rsidR="00F14DFF" w:rsidRPr="00F14DFF">
        <w:rPr>
          <w:rFonts w:ascii="仿宋_GB2312" w:eastAsia="仿宋_GB2312" w:hAnsi="宋体" w:cs="宋体" w:hint="eastAsia"/>
          <w:color w:val="000000"/>
          <w:kern w:val="0"/>
          <w:sz w:val="32"/>
          <w:szCs w:val="32"/>
        </w:rPr>
        <w:t>。接待</w:t>
      </w:r>
      <w:r w:rsidR="00F14DFF">
        <w:rPr>
          <w:rFonts w:ascii="仿宋_GB2312" w:eastAsia="仿宋_GB2312" w:hAnsi="宋体" w:cs="宋体" w:hint="eastAsia"/>
          <w:color w:val="000000"/>
          <w:kern w:val="0"/>
          <w:sz w:val="32"/>
          <w:szCs w:val="32"/>
        </w:rPr>
        <w:t>入境过夜旅游者</w:t>
      </w:r>
      <w:r w:rsidR="00F14DFF" w:rsidRPr="00F14DFF">
        <w:rPr>
          <w:rFonts w:ascii="仿宋_GB2312" w:eastAsia="仿宋_GB2312" w:hAnsi="宋体" w:cs="宋体" w:hint="eastAsia"/>
          <w:color w:val="000000"/>
          <w:kern w:val="0"/>
          <w:sz w:val="32"/>
          <w:szCs w:val="32"/>
        </w:rPr>
        <w:t>2.26万人次，增长11.2%</w:t>
      </w:r>
      <w:r w:rsidR="00F14DFF">
        <w:rPr>
          <w:rFonts w:ascii="仿宋_GB2312" w:eastAsia="仿宋_GB2312" w:hAnsi="宋体" w:cs="宋体" w:hint="eastAsia"/>
          <w:color w:val="000000"/>
          <w:kern w:val="0"/>
          <w:sz w:val="32"/>
          <w:szCs w:val="32"/>
        </w:rPr>
        <w:t>；</w:t>
      </w:r>
      <w:r w:rsidR="00F14DFF" w:rsidRPr="00F14DFF">
        <w:rPr>
          <w:rFonts w:ascii="仿宋_GB2312" w:eastAsia="仿宋_GB2312" w:hAnsi="宋体" w:cs="宋体" w:hint="eastAsia"/>
          <w:color w:val="000000"/>
          <w:kern w:val="0"/>
          <w:sz w:val="32"/>
          <w:szCs w:val="32"/>
        </w:rPr>
        <w:t>实现旅游外汇收入2281万美元，增长10.5%。</w:t>
      </w:r>
      <w:r w:rsidR="00983578" w:rsidRPr="00F14DFF">
        <w:rPr>
          <w:rFonts w:ascii="仿宋_GB2312" w:eastAsia="仿宋_GB2312" w:hAnsi="宋体" w:cs="宋体" w:hint="eastAsia"/>
          <w:color w:val="000000"/>
          <w:kern w:val="0"/>
          <w:sz w:val="32"/>
          <w:szCs w:val="32"/>
        </w:rPr>
        <w:t>月牙岛、孔望山、桃花涧、后云台山等景区扩建改造快速实施，花果山景区</w:t>
      </w:r>
      <w:r w:rsidR="00CD2F09" w:rsidRPr="00F14DFF">
        <w:rPr>
          <w:rFonts w:ascii="仿宋_GB2312" w:eastAsia="仿宋_GB2312" w:hAnsi="宋体" w:cs="宋体" w:hint="eastAsia"/>
          <w:color w:val="000000"/>
          <w:kern w:val="0"/>
          <w:sz w:val="32"/>
          <w:szCs w:val="32"/>
        </w:rPr>
        <w:t>成功创建</w:t>
      </w:r>
      <w:r w:rsidR="00983578" w:rsidRPr="00F14DFF">
        <w:rPr>
          <w:rFonts w:ascii="仿宋_GB2312" w:eastAsia="仿宋_GB2312" w:hAnsi="宋体" w:cs="宋体" w:hint="eastAsia"/>
          <w:color w:val="000000"/>
          <w:kern w:val="0"/>
          <w:sz w:val="32"/>
          <w:szCs w:val="32"/>
        </w:rPr>
        <w:t>5A级景区。</w:t>
      </w:r>
    </w:p>
    <w:p w:rsidR="00B74B05" w:rsidRPr="00E331EB" w:rsidRDefault="00B74B05" w:rsidP="005B32E5">
      <w:pPr>
        <w:widowControl/>
        <w:shd w:val="clear" w:color="auto" w:fill="FFFFFF"/>
        <w:spacing w:before="100" w:beforeAutospacing="1" w:after="100" w:afterAutospacing="1" w:line="560" w:lineRule="exact"/>
        <w:ind w:firstLineChars="196" w:firstLine="627"/>
        <w:rPr>
          <w:rFonts w:ascii="宋体" w:eastAsia="宋体" w:hAnsi="宋体" w:cs="宋体"/>
          <w:kern w:val="0"/>
          <w:sz w:val="24"/>
          <w:szCs w:val="24"/>
        </w:rPr>
      </w:pPr>
      <w:r w:rsidRPr="00E331EB">
        <w:rPr>
          <w:rFonts w:ascii="Times New Roman" w:eastAsia="黑体" w:hAnsi="黑体" w:cs="宋体" w:hint="eastAsia"/>
          <w:kern w:val="0"/>
          <w:sz w:val="32"/>
          <w:szCs w:val="32"/>
        </w:rPr>
        <w:t>八、财政</w:t>
      </w:r>
      <w:r w:rsidR="00271276" w:rsidRPr="00E331EB">
        <w:rPr>
          <w:rFonts w:ascii="Times New Roman" w:eastAsia="黑体" w:hAnsi="黑体" w:cs="宋体" w:hint="eastAsia"/>
          <w:kern w:val="0"/>
          <w:sz w:val="32"/>
          <w:szCs w:val="32"/>
        </w:rPr>
        <w:t>、</w:t>
      </w:r>
      <w:r w:rsidRPr="00E331EB">
        <w:rPr>
          <w:rFonts w:ascii="Times New Roman" w:eastAsia="黑体" w:hAnsi="黑体" w:cs="宋体" w:hint="eastAsia"/>
          <w:kern w:val="0"/>
          <w:sz w:val="32"/>
          <w:szCs w:val="32"/>
        </w:rPr>
        <w:t>金融</w:t>
      </w:r>
    </w:p>
    <w:p w:rsidR="00713468" w:rsidRDefault="00B74B05" w:rsidP="005B32E5">
      <w:pPr>
        <w:widowControl/>
        <w:shd w:val="clear" w:color="auto" w:fill="FFFFFF"/>
        <w:spacing w:before="100" w:beforeAutospacing="1" w:after="100" w:afterAutospacing="1" w:line="560" w:lineRule="exact"/>
        <w:ind w:firstLineChars="200" w:firstLine="640"/>
        <w:rPr>
          <w:rFonts w:ascii="仿宋_GB2312" w:eastAsia="仿宋_GB2312" w:hAnsi="仿宋"/>
          <w:sz w:val="32"/>
          <w:szCs w:val="32"/>
        </w:rPr>
      </w:pPr>
      <w:r w:rsidRPr="00B74B05">
        <w:rPr>
          <w:rFonts w:ascii="楷体_GB2312" w:eastAsia="楷体_GB2312" w:hAnsi="宋体" w:cs="宋体" w:hint="eastAsia"/>
          <w:color w:val="000000"/>
          <w:kern w:val="0"/>
          <w:sz w:val="32"/>
          <w:szCs w:val="32"/>
        </w:rPr>
        <w:t>财政收入</w:t>
      </w:r>
      <w:r w:rsidR="00627DA6">
        <w:rPr>
          <w:rFonts w:ascii="楷体_GB2312" w:eastAsia="楷体_GB2312" w:hAnsi="宋体" w:cs="宋体" w:hint="eastAsia"/>
          <w:color w:val="000000"/>
          <w:kern w:val="0"/>
          <w:sz w:val="32"/>
          <w:szCs w:val="32"/>
        </w:rPr>
        <w:t>下降</w:t>
      </w:r>
      <w:r w:rsidRPr="00B74B05">
        <w:rPr>
          <w:rFonts w:ascii="楷体_GB2312" w:eastAsia="楷体_GB2312" w:hAnsi="宋体" w:cs="宋体" w:hint="eastAsia"/>
          <w:color w:val="000000"/>
          <w:kern w:val="0"/>
          <w:sz w:val="32"/>
          <w:szCs w:val="32"/>
        </w:rPr>
        <w:t>。</w:t>
      </w:r>
      <w:r w:rsidR="00713468" w:rsidRPr="00713468">
        <w:rPr>
          <w:rFonts w:ascii="仿宋_GB2312" w:eastAsia="仿宋_GB2312" w:hAnsi="仿宋" w:hint="eastAsia"/>
          <w:sz w:val="32"/>
          <w:szCs w:val="32"/>
        </w:rPr>
        <w:t>受营改增等因素影响，全年实现一般公共预算收入</w:t>
      </w:r>
      <w:r w:rsidR="00713468" w:rsidRPr="00713468">
        <w:rPr>
          <w:rFonts w:ascii="仿宋_GB2312" w:eastAsia="仿宋_GB2312" w:hAnsi="仿宋"/>
          <w:sz w:val="32"/>
          <w:szCs w:val="32"/>
        </w:rPr>
        <w:t>211.47</w:t>
      </w:r>
      <w:r w:rsidR="00713468" w:rsidRPr="00713468">
        <w:rPr>
          <w:rFonts w:ascii="仿宋_GB2312" w:eastAsia="仿宋_GB2312" w:hAnsi="仿宋" w:hint="eastAsia"/>
          <w:sz w:val="32"/>
          <w:szCs w:val="32"/>
        </w:rPr>
        <w:t>亿元，下降</w:t>
      </w:r>
      <w:r w:rsidR="00713468" w:rsidRPr="00713468">
        <w:rPr>
          <w:rFonts w:ascii="仿宋_GB2312" w:eastAsia="仿宋_GB2312" w:hAnsi="仿宋"/>
          <w:sz w:val="32"/>
          <w:szCs w:val="32"/>
        </w:rPr>
        <w:t>27.5%</w:t>
      </w:r>
      <w:r w:rsidR="00713468" w:rsidRPr="00713468">
        <w:rPr>
          <w:rFonts w:ascii="仿宋_GB2312" w:eastAsia="仿宋_GB2312" w:hAnsi="仿宋" w:hint="eastAsia"/>
          <w:sz w:val="32"/>
          <w:szCs w:val="32"/>
        </w:rPr>
        <w:t>。其中</w:t>
      </w:r>
      <w:r w:rsidR="00713468" w:rsidRPr="00713468">
        <w:rPr>
          <w:rFonts w:ascii="仿宋_GB2312" w:eastAsia="仿宋_GB2312" w:hAnsi="仿宋"/>
          <w:sz w:val="32"/>
          <w:szCs w:val="32"/>
        </w:rPr>
        <w:t>:</w:t>
      </w:r>
      <w:r w:rsidR="00713468" w:rsidRPr="00713468">
        <w:rPr>
          <w:rFonts w:ascii="仿宋_GB2312" w:eastAsia="仿宋_GB2312" w:hAnsi="仿宋" w:hint="eastAsia"/>
          <w:sz w:val="32"/>
          <w:szCs w:val="32"/>
        </w:rPr>
        <w:t>实现税收收入</w:t>
      </w:r>
      <w:r w:rsidR="00713468" w:rsidRPr="00713468">
        <w:rPr>
          <w:rFonts w:ascii="仿宋_GB2312" w:eastAsia="仿宋_GB2312" w:hAnsi="仿宋"/>
          <w:sz w:val="32"/>
          <w:szCs w:val="32"/>
        </w:rPr>
        <w:t>170.80</w:t>
      </w:r>
      <w:r w:rsidR="00713468" w:rsidRPr="00713468">
        <w:rPr>
          <w:rFonts w:ascii="仿宋_GB2312" w:eastAsia="仿宋_GB2312" w:hAnsi="仿宋" w:hint="eastAsia"/>
          <w:sz w:val="32"/>
          <w:szCs w:val="32"/>
        </w:rPr>
        <w:t>亿元</w:t>
      </w:r>
      <w:r w:rsidR="00713468" w:rsidRPr="00713468">
        <w:rPr>
          <w:rFonts w:ascii="仿宋_GB2312" w:eastAsia="仿宋_GB2312" w:hAnsi="仿宋"/>
          <w:sz w:val="32"/>
          <w:szCs w:val="32"/>
        </w:rPr>
        <w:t>,</w:t>
      </w:r>
      <w:r w:rsidR="00713468" w:rsidRPr="00713468">
        <w:rPr>
          <w:rFonts w:ascii="仿宋_GB2312" w:eastAsia="仿宋_GB2312" w:hAnsi="仿宋" w:hint="eastAsia"/>
          <w:sz w:val="32"/>
          <w:szCs w:val="32"/>
        </w:rPr>
        <w:t>下降</w:t>
      </w:r>
      <w:r w:rsidR="00713468" w:rsidRPr="00713468">
        <w:rPr>
          <w:rFonts w:ascii="仿宋_GB2312" w:eastAsia="仿宋_GB2312" w:hAnsi="仿宋"/>
          <w:sz w:val="32"/>
          <w:szCs w:val="32"/>
        </w:rPr>
        <w:t>28.1%</w:t>
      </w:r>
      <w:r w:rsidR="00713468" w:rsidRPr="00713468">
        <w:rPr>
          <w:rFonts w:ascii="仿宋_GB2312" w:eastAsia="仿宋_GB2312" w:hAnsi="仿宋" w:hint="eastAsia"/>
          <w:sz w:val="32"/>
          <w:szCs w:val="32"/>
        </w:rPr>
        <w:t>。</w:t>
      </w:r>
      <w:r w:rsidR="00874C9A" w:rsidRPr="00627DA6">
        <w:rPr>
          <w:rFonts w:ascii="仿宋_GB2312" w:eastAsia="仿宋_GB2312" w:hAnsi="仿宋" w:hint="eastAsia"/>
          <w:sz w:val="32"/>
          <w:szCs w:val="32"/>
        </w:rPr>
        <w:t>分地区看，市区、三县分别实现一般公共预算</w:t>
      </w:r>
      <w:r w:rsidR="00874C9A">
        <w:rPr>
          <w:rFonts w:ascii="仿宋_GB2312" w:eastAsia="仿宋_GB2312" w:hAnsi="仿宋" w:hint="eastAsia"/>
          <w:sz w:val="32"/>
          <w:szCs w:val="32"/>
        </w:rPr>
        <w:t>收入144.91</w:t>
      </w:r>
      <w:r w:rsidR="00874C9A" w:rsidRPr="00627DA6">
        <w:rPr>
          <w:rFonts w:ascii="仿宋_GB2312" w:eastAsia="仿宋_GB2312" w:hAnsi="仿宋" w:hint="eastAsia"/>
          <w:sz w:val="32"/>
          <w:szCs w:val="32"/>
        </w:rPr>
        <w:t>亿元和</w:t>
      </w:r>
      <w:r w:rsidR="00874C9A">
        <w:rPr>
          <w:rFonts w:ascii="仿宋_GB2312" w:eastAsia="仿宋_GB2312" w:hAnsi="仿宋" w:hint="eastAsia"/>
          <w:sz w:val="32"/>
          <w:szCs w:val="32"/>
        </w:rPr>
        <w:t>66.56</w:t>
      </w:r>
      <w:r w:rsidR="00874C9A" w:rsidRPr="00627DA6">
        <w:rPr>
          <w:rFonts w:ascii="仿宋_GB2312" w:eastAsia="仿宋_GB2312" w:hAnsi="仿宋" w:hint="eastAsia"/>
          <w:sz w:val="32"/>
          <w:szCs w:val="32"/>
        </w:rPr>
        <w:t>亿元，分别下降</w:t>
      </w:r>
      <w:r w:rsidR="00874C9A">
        <w:rPr>
          <w:rFonts w:ascii="仿宋_GB2312" w:eastAsia="仿宋_GB2312" w:hAnsi="仿宋" w:hint="eastAsia"/>
          <w:sz w:val="32"/>
          <w:szCs w:val="32"/>
        </w:rPr>
        <w:t>16.1</w:t>
      </w:r>
      <w:r w:rsidR="00874C9A" w:rsidRPr="00627DA6">
        <w:rPr>
          <w:rFonts w:ascii="仿宋_GB2312" w:eastAsia="仿宋_GB2312" w:hAnsi="仿宋"/>
          <w:sz w:val="32"/>
          <w:szCs w:val="32"/>
        </w:rPr>
        <w:t>%</w:t>
      </w:r>
      <w:r w:rsidR="00874C9A" w:rsidRPr="00627DA6">
        <w:rPr>
          <w:rFonts w:ascii="仿宋_GB2312" w:eastAsia="仿宋_GB2312" w:hAnsi="仿宋" w:hint="eastAsia"/>
          <w:sz w:val="32"/>
          <w:szCs w:val="32"/>
        </w:rPr>
        <w:t>和</w:t>
      </w:r>
      <w:r w:rsidR="00874C9A">
        <w:rPr>
          <w:rFonts w:ascii="仿宋_GB2312" w:eastAsia="仿宋_GB2312" w:hAnsi="仿宋" w:hint="eastAsia"/>
          <w:sz w:val="32"/>
          <w:szCs w:val="32"/>
        </w:rPr>
        <w:t>44.1</w:t>
      </w:r>
      <w:r w:rsidR="00874C9A" w:rsidRPr="00627DA6">
        <w:rPr>
          <w:rFonts w:ascii="仿宋_GB2312" w:eastAsia="仿宋_GB2312" w:hAnsi="仿宋"/>
          <w:sz w:val="32"/>
          <w:szCs w:val="32"/>
        </w:rPr>
        <w:t>%</w:t>
      </w:r>
      <w:r w:rsidR="00874C9A" w:rsidRPr="00627DA6">
        <w:rPr>
          <w:rFonts w:ascii="仿宋_GB2312" w:eastAsia="仿宋_GB2312" w:hAnsi="仿宋" w:hint="eastAsia"/>
          <w:sz w:val="32"/>
          <w:szCs w:val="32"/>
        </w:rPr>
        <w:t>。</w:t>
      </w:r>
    </w:p>
    <w:p w:rsidR="00271276" w:rsidRPr="00874C9A" w:rsidRDefault="00627DA6" w:rsidP="005B32E5">
      <w:pPr>
        <w:widowControl/>
        <w:shd w:val="clear" w:color="auto" w:fill="FFFFFF"/>
        <w:spacing w:before="100" w:beforeAutospacing="1" w:after="100" w:afterAutospacing="1" w:line="560" w:lineRule="exact"/>
        <w:ind w:firstLineChars="200" w:firstLine="640"/>
        <w:rPr>
          <w:rFonts w:ascii="仿宋_GB2312" w:eastAsia="仿宋_GB2312" w:hAnsi="仿宋"/>
          <w:sz w:val="32"/>
          <w:szCs w:val="32"/>
        </w:rPr>
      </w:pPr>
      <w:r w:rsidRPr="00627DA6">
        <w:rPr>
          <w:rFonts w:ascii="楷体_GB2312" w:eastAsia="楷体_GB2312" w:hAnsi="宋体" w:cs="宋体" w:hint="eastAsia"/>
          <w:color w:val="000000"/>
          <w:kern w:val="0"/>
          <w:sz w:val="32"/>
          <w:szCs w:val="32"/>
        </w:rPr>
        <w:t>民生支出</w:t>
      </w:r>
      <w:r w:rsidR="00275A71">
        <w:rPr>
          <w:rFonts w:ascii="楷体_GB2312" w:eastAsia="楷体_GB2312" w:hAnsi="宋体" w:cs="宋体" w:hint="eastAsia"/>
          <w:color w:val="000000"/>
          <w:kern w:val="0"/>
          <w:sz w:val="32"/>
          <w:szCs w:val="32"/>
        </w:rPr>
        <w:t>比重较大</w:t>
      </w:r>
      <w:r w:rsidRPr="00627DA6">
        <w:rPr>
          <w:rFonts w:ascii="楷体_GB2312" w:eastAsia="楷体_GB2312" w:hAnsi="宋体" w:cs="宋体" w:hint="eastAsia"/>
          <w:color w:val="000000"/>
          <w:kern w:val="0"/>
          <w:sz w:val="32"/>
          <w:szCs w:val="32"/>
        </w:rPr>
        <w:t>。</w:t>
      </w:r>
      <w:r w:rsidRPr="00627DA6">
        <w:rPr>
          <w:rFonts w:ascii="仿宋_GB2312" w:eastAsia="仿宋_GB2312" w:hAnsi="仿宋" w:hint="eastAsia"/>
          <w:sz w:val="32"/>
          <w:szCs w:val="32"/>
        </w:rPr>
        <w:t>全年实现一般公共预算支出</w:t>
      </w:r>
      <w:r w:rsidRPr="00627DA6">
        <w:rPr>
          <w:rFonts w:ascii="仿宋_GB2312" w:eastAsia="仿宋_GB2312" w:hAnsi="仿宋"/>
          <w:sz w:val="32"/>
          <w:szCs w:val="32"/>
        </w:rPr>
        <w:t>374.78</w:t>
      </w:r>
      <w:r w:rsidRPr="00627DA6">
        <w:rPr>
          <w:rFonts w:ascii="仿宋_GB2312" w:eastAsia="仿宋_GB2312" w:hAnsi="仿宋" w:hint="eastAsia"/>
          <w:sz w:val="32"/>
          <w:szCs w:val="32"/>
        </w:rPr>
        <w:t>亿元，比上年减少</w:t>
      </w:r>
      <w:r w:rsidRPr="00627DA6">
        <w:rPr>
          <w:rFonts w:ascii="仿宋_GB2312" w:eastAsia="仿宋_GB2312" w:hAnsi="仿宋"/>
          <w:sz w:val="32"/>
          <w:szCs w:val="32"/>
        </w:rPr>
        <w:t>55.00</w:t>
      </w:r>
      <w:r w:rsidRPr="00627DA6">
        <w:rPr>
          <w:rFonts w:ascii="仿宋_GB2312" w:eastAsia="仿宋_GB2312" w:hAnsi="仿宋" w:hint="eastAsia"/>
          <w:sz w:val="32"/>
          <w:szCs w:val="32"/>
        </w:rPr>
        <w:t>亿元，下降</w:t>
      </w:r>
      <w:r w:rsidRPr="00627DA6">
        <w:rPr>
          <w:rFonts w:ascii="仿宋_GB2312" w:eastAsia="仿宋_GB2312" w:hAnsi="仿宋"/>
          <w:sz w:val="32"/>
          <w:szCs w:val="32"/>
        </w:rPr>
        <w:t>12.8%</w:t>
      </w:r>
      <w:r w:rsidRPr="00627DA6">
        <w:rPr>
          <w:rFonts w:ascii="仿宋_GB2312" w:eastAsia="仿宋_GB2312" w:hAnsi="仿宋" w:hint="eastAsia"/>
          <w:sz w:val="32"/>
          <w:szCs w:val="32"/>
        </w:rPr>
        <w:t>。</w:t>
      </w:r>
      <w:r w:rsidR="00B74B05" w:rsidRPr="00874C9A">
        <w:rPr>
          <w:rFonts w:ascii="仿宋_GB2312" w:eastAsia="仿宋_GB2312" w:hAnsi="仿宋" w:hint="eastAsia"/>
          <w:sz w:val="32"/>
          <w:szCs w:val="32"/>
        </w:rPr>
        <w:t>用于民生支出</w:t>
      </w:r>
      <w:r w:rsidR="00874C9A" w:rsidRPr="00874C9A">
        <w:rPr>
          <w:rFonts w:ascii="仿宋_GB2312" w:eastAsia="仿宋_GB2312" w:hAnsi="仿宋" w:hint="eastAsia"/>
          <w:sz w:val="32"/>
          <w:szCs w:val="32"/>
        </w:rPr>
        <w:t>达到</w:t>
      </w:r>
      <w:r w:rsidR="00B74B05" w:rsidRPr="00874C9A">
        <w:rPr>
          <w:rFonts w:ascii="仿宋_GB2312" w:eastAsia="仿宋_GB2312" w:hAnsi="仿宋" w:hint="eastAsia"/>
          <w:sz w:val="32"/>
          <w:szCs w:val="32"/>
        </w:rPr>
        <w:t>七成，其中教育支出</w:t>
      </w:r>
      <w:r w:rsidR="00874C9A" w:rsidRPr="00874C9A">
        <w:rPr>
          <w:rFonts w:ascii="仿宋_GB2312" w:eastAsia="仿宋_GB2312" w:hAnsi="仿宋" w:hint="eastAsia"/>
          <w:sz w:val="32"/>
          <w:szCs w:val="32"/>
        </w:rPr>
        <w:t>71.41</w:t>
      </w:r>
      <w:r w:rsidR="00B74B05" w:rsidRPr="00874C9A">
        <w:rPr>
          <w:rFonts w:ascii="仿宋_GB2312" w:eastAsia="仿宋_GB2312" w:hAnsi="仿宋" w:hint="eastAsia"/>
          <w:sz w:val="32"/>
          <w:szCs w:val="32"/>
        </w:rPr>
        <w:t>亿元，社会保障和就业</w:t>
      </w:r>
      <w:r w:rsidR="00874C9A" w:rsidRPr="00874C9A">
        <w:rPr>
          <w:rFonts w:ascii="仿宋_GB2312" w:eastAsia="仿宋_GB2312" w:hAnsi="仿宋" w:hint="eastAsia"/>
          <w:sz w:val="32"/>
          <w:szCs w:val="32"/>
        </w:rPr>
        <w:t>36.83</w:t>
      </w:r>
      <w:r w:rsidR="00B74B05" w:rsidRPr="00874C9A">
        <w:rPr>
          <w:rFonts w:ascii="仿宋_GB2312" w:eastAsia="仿宋_GB2312" w:hAnsi="仿宋" w:hint="eastAsia"/>
          <w:sz w:val="32"/>
          <w:szCs w:val="32"/>
        </w:rPr>
        <w:t>亿元，医疗卫生</w:t>
      </w:r>
      <w:r w:rsidR="00874C9A" w:rsidRPr="00874C9A">
        <w:rPr>
          <w:rFonts w:ascii="仿宋_GB2312" w:eastAsia="仿宋_GB2312" w:hAnsi="仿宋" w:hint="eastAsia"/>
          <w:sz w:val="32"/>
          <w:szCs w:val="32"/>
        </w:rPr>
        <w:t>31.36亿元</w:t>
      </w:r>
      <w:r w:rsidR="00B74B05" w:rsidRPr="00874C9A">
        <w:rPr>
          <w:rFonts w:ascii="仿宋_GB2312" w:eastAsia="仿宋_GB2312" w:hAnsi="仿宋" w:hint="eastAsia"/>
          <w:sz w:val="32"/>
          <w:szCs w:val="32"/>
        </w:rPr>
        <w:t>，城乡社区事务</w:t>
      </w:r>
      <w:r w:rsidR="00874C9A" w:rsidRPr="00874C9A">
        <w:rPr>
          <w:rFonts w:ascii="仿宋_GB2312" w:eastAsia="仿宋_GB2312" w:hAnsi="仿宋" w:hint="eastAsia"/>
          <w:sz w:val="32"/>
          <w:szCs w:val="32"/>
        </w:rPr>
        <w:t>49.80</w:t>
      </w:r>
      <w:r w:rsidR="00B74B05" w:rsidRPr="00874C9A">
        <w:rPr>
          <w:rFonts w:ascii="仿宋_GB2312" w:eastAsia="仿宋_GB2312" w:hAnsi="仿宋" w:hint="eastAsia"/>
          <w:sz w:val="32"/>
          <w:szCs w:val="32"/>
        </w:rPr>
        <w:t>亿元。</w:t>
      </w:r>
    </w:p>
    <w:p w:rsidR="00271276" w:rsidRDefault="00271276" w:rsidP="005B32E5">
      <w:pPr>
        <w:widowControl/>
        <w:shd w:val="clear" w:color="auto" w:fill="FFFFFF"/>
        <w:spacing w:before="100" w:beforeAutospacing="1" w:after="100" w:afterAutospacing="1" w:line="560" w:lineRule="exact"/>
        <w:ind w:firstLineChars="200" w:firstLine="640"/>
        <w:rPr>
          <w:rFonts w:ascii="仿宋_GB2312" w:eastAsia="仿宋_GB2312" w:hAnsi="仿宋"/>
          <w:sz w:val="32"/>
          <w:szCs w:val="32"/>
        </w:rPr>
      </w:pPr>
      <w:r w:rsidRPr="00B74B05">
        <w:rPr>
          <w:rFonts w:ascii="楷体_GB2312" w:eastAsia="楷体_GB2312" w:hAnsi="宋体" w:cs="宋体" w:hint="eastAsia"/>
          <w:color w:val="000000"/>
          <w:kern w:val="0"/>
          <w:sz w:val="32"/>
          <w:szCs w:val="32"/>
        </w:rPr>
        <w:lastRenderedPageBreak/>
        <w:t>金融信贷</w:t>
      </w:r>
      <w:r w:rsidR="00D549E0">
        <w:rPr>
          <w:rFonts w:ascii="楷体_GB2312" w:eastAsia="楷体_GB2312" w:hAnsi="宋体" w:cs="宋体" w:hint="eastAsia"/>
          <w:color w:val="000000"/>
          <w:kern w:val="0"/>
          <w:sz w:val="32"/>
          <w:szCs w:val="32"/>
        </w:rPr>
        <w:t>较快增长</w:t>
      </w:r>
      <w:r w:rsidRPr="00B74B05">
        <w:rPr>
          <w:rFonts w:ascii="楷体_GB2312" w:eastAsia="楷体_GB2312" w:hAnsi="宋体" w:cs="宋体" w:hint="eastAsia"/>
          <w:color w:val="000000"/>
          <w:kern w:val="0"/>
          <w:sz w:val="32"/>
          <w:szCs w:val="32"/>
        </w:rPr>
        <w:t>。</w:t>
      </w:r>
      <w:r w:rsidRPr="00B30D5C">
        <w:rPr>
          <w:rFonts w:ascii="仿宋_GB2312" w:eastAsia="仿宋_GB2312" w:hAnsi="仿宋" w:hint="eastAsia"/>
          <w:sz w:val="32"/>
          <w:szCs w:val="32"/>
        </w:rPr>
        <w:t>年末金融机构存款余额</w:t>
      </w:r>
      <w:r w:rsidRPr="00B30D5C">
        <w:rPr>
          <w:rFonts w:ascii="仿宋_GB2312" w:eastAsia="仿宋_GB2312" w:hAnsi="仿宋"/>
          <w:sz w:val="32"/>
          <w:szCs w:val="32"/>
        </w:rPr>
        <w:t>2</w:t>
      </w:r>
      <w:r w:rsidR="00627DA6" w:rsidRPr="00B30D5C">
        <w:rPr>
          <w:rFonts w:ascii="仿宋_GB2312" w:eastAsia="仿宋_GB2312" w:hAnsi="仿宋" w:hint="eastAsia"/>
          <w:sz w:val="32"/>
          <w:szCs w:val="32"/>
        </w:rPr>
        <w:t>555.48</w:t>
      </w:r>
      <w:r w:rsidRPr="00B30D5C">
        <w:rPr>
          <w:rFonts w:ascii="仿宋_GB2312" w:eastAsia="仿宋_GB2312" w:hAnsi="仿宋" w:hint="eastAsia"/>
          <w:sz w:val="32"/>
          <w:szCs w:val="32"/>
        </w:rPr>
        <w:t>亿元，比年初增加</w:t>
      </w:r>
      <w:r w:rsidR="00627DA6" w:rsidRPr="00B30D5C">
        <w:rPr>
          <w:rFonts w:ascii="仿宋_GB2312" w:eastAsia="仿宋_GB2312" w:hAnsi="仿宋" w:hint="eastAsia"/>
          <w:sz w:val="32"/>
          <w:szCs w:val="32"/>
        </w:rPr>
        <w:t>391.56</w:t>
      </w:r>
      <w:r w:rsidRPr="00B30D5C">
        <w:rPr>
          <w:rFonts w:ascii="仿宋_GB2312" w:eastAsia="仿宋_GB2312" w:hAnsi="仿宋" w:hint="eastAsia"/>
          <w:sz w:val="32"/>
          <w:szCs w:val="32"/>
        </w:rPr>
        <w:t>亿元</w:t>
      </w:r>
      <w:r w:rsidR="00627DA6" w:rsidRPr="00B30D5C">
        <w:rPr>
          <w:rFonts w:ascii="仿宋_GB2312" w:eastAsia="仿宋_GB2312" w:hAnsi="仿宋" w:hint="eastAsia"/>
          <w:sz w:val="32"/>
          <w:szCs w:val="32"/>
        </w:rPr>
        <w:t>，同比增长</w:t>
      </w:r>
      <w:r w:rsidR="00D549E0" w:rsidRPr="00B30D5C">
        <w:rPr>
          <w:rFonts w:ascii="仿宋_GB2312" w:eastAsia="仿宋_GB2312" w:hAnsi="仿宋" w:hint="eastAsia"/>
          <w:sz w:val="32"/>
          <w:szCs w:val="32"/>
        </w:rPr>
        <w:t>18.1</w:t>
      </w:r>
      <w:r w:rsidR="00627DA6" w:rsidRPr="00B30D5C">
        <w:rPr>
          <w:rFonts w:ascii="仿宋_GB2312" w:eastAsia="仿宋_GB2312" w:hAnsi="仿宋"/>
          <w:sz w:val="32"/>
          <w:szCs w:val="32"/>
        </w:rPr>
        <w:t>%</w:t>
      </w:r>
      <w:r w:rsidRPr="00B30D5C">
        <w:rPr>
          <w:rFonts w:ascii="仿宋_GB2312" w:eastAsia="仿宋_GB2312" w:hAnsi="仿宋" w:hint="eastAsia"/>
          <w:sz w:val="32"/>
          <w:szCs w:val="32"/>
        </w:rPr>
        <w:t>。其中，</w:t>
      </w:r>
      <w:r w:rsidR="00D549E0" w:rsidRPr="00B30D5C">
        <w:rPr>
          <w:rFonts w:ascii="仿宋_GB2312" w:eastAsia="仿宋_GB2312" w:hAnsi="仿宋" w:hint="eastAsia"/>
          <w:sz w:val="32"/>
          <w:szCs w:val="32"/>
        </w:rPr>
        <w:t>住户</w:t>
      </w:r>
      <w:r w:rsidRPr="00B30D5C">
        <w:rPr>
          <w:rFonts w:ascii="仿宋_GB2312" w:eastAsia="仿宋_GB2312" w:hAnsi="仿宋" w:hint="eastAsia"/>
          <w:sz w:val="32"/>
          <w:szCs w:val="32"/>
        </w:rPr>
        <w:t>存款</w:t>
      </w:r>
      <w:r w:rsidRPr="00B30D5C">
        <w:rPr>
          <w:rFonts w:ascii="仿宋_GB2312" w:eastAsia="仿宋_GB2312" w:hAnsi="仿宋"/>
          <w:sz w:val="32"/>
          <w:szCs w:val="32"/>
        </w:rPr>
        <w:t>1</w:t>
      </w:r>
      <w:r w:rsidR="00627DA6" w:rsidRPr="00B30D5C">
        <w:rPr>
          <w:rFonts w:ascii="仿宋_GB2312" w:eastAsia="仿宋_GB2312" w:hAnsi="仿宋" w:hint="eastAsia"/>
          <w:sz w:val="32"/>
          <w:szCs w:val="32"/>
        </w:rPr>
        <w:t>179.91</w:t>
      </w:r>
      <w:r w:rsidRPr="00B30D5C">
        <w:rPr>
          <w:rFonts w:ascii="仿宋_GB2312" w:eastAsia="仿宋_GB2312" w:hAnsi="仿宋" w:hint="eastAsia"/>
          <w:sz w:val="32"/>
          <w:szCs w:val="32"/>
        </w:rPr>
        <w:t>亿元，比年初增加</w:t>
      </w:r>
      <w:r w:rsidRPr="00B30D5C">
        <w:rPr>
          <w:rFonts w:ascii="仿宋_GB2312" w:eastAsia="仿宋_GB2312" w:hAnsi="仿宋"/>
          <w:sz w:val="32"/>
          <w:szCs w:val="32"/>
        </w:rPr>
        <w:t>1</w:t>
      </w:r>
      <w:r w:rsidR="00627DA6" w:rsidRPr="00B30D5C">
        <w:rPr>
          <w:rFonts w:ascii="仿宋_GB2312" w:eastAsia="仿宋_GB2312" w:hAnsi="仿宋" w:hint="eastAsia"/>
          <w:sz w:val="32"/>
          <w:szCs w:val="32"/>
        </w:rPr>
        <w:t>23.94</w:t>
      </w:r>
      <w:r w:rsidRPr="00B30D5C">
        <w:rPr>
          <w:rFonts w:ascii="仿宋_GB2312" w:eastAsia="仿宋_GB2312" w:hAnsi="仿宋" w:hint="eastAsia"/>
          <w:sz w:val="32"/>
          <w:szCs w:val="32"/>
        </w:rPr>
        <w:t>亿元</w:t>
      </w:r>
      <w:r w:rsidR="00627DA6" w:rsidRPr="00B30D5C">
        <w:rPr>
          <w:rFonts w:ascii="仿宋_GB2312" w:eastAsia="仿宋_GB2312" w:hAnsi="仿宋" w:hint="eastAsia"/>
          <w:sz w:val="32"/>
          <w:szCs w:val="32"/>
        </w:rPr>
        <w:t>，同比增长</w:t>
      </w:r>
      <w:r w:rsidR="00D549E0" w:rsidRPr="00B30D5C">
        <w:rPr>
          <w:rFonts w:ascii="仿宋_GB2312" w:eastAsia="仿宋_GB2312" w:hAnsi="仿宋" w:hint="eastAsia"/>
          <w:sz w:val="32"/>
          <w:szCs w:val="32"/>
        </w:rPr>
        <w:t>11.7</w:t>
      </w:r>
      <w:r w:rsidR="00627DA6" w:rsidRPr="00B30D5C">
        <w:rPr>
          <w:rFonts w:ascii="仿宋_GB2312" w:eastAsia="仿宋_GB2312" w:hAnsi="仿宋"/>
          <w:sz w:val="32"/>
          <w:szCs w:val="32"/>
        </w:rPr>
        <w:t>%</w:t>
      </w:r>
      <w:r w:rsidRPr="00B30D5C">
        <w:rPr>
          <w:rFonts w:ascii="仿宋_GB2312" w:eastAsia="仿宋_GB2312" w:hAnsi="仿宋" w:hint="eastAsia"/>
          <w:sz w:val="32"/>
          <w:szCs w:val="32"/>
        </w:rPr>
        <w:t>。金融机构贷款余额</w:t>
      </w:r>
      <w:r w:rsidR="00627DA6" w:rsidRPr="00B30D5C">
        <w:rPr>
          <w:rFonts w:ascii="仿宋_GB2312" w:eastAsia="仿宋_GB2312" w:hAnsi="仿宋" w:hint="eastAsia"/>
          <w:sz w:val="32"/>
          <w:szCs w:val="32"/>
        </w:rPr>
        <w:t>2093.9</w:t>
      </w:r>
      <w:r w:rsidRPr="00B30D5C">
        <w:rPr>
          <w:rFonts w:ascii="仿宋_GB2312" w:eastAsia="仿宋_GB2312" w:hAnsi="仿宋" w:hint="eastAsia"/>
          <w:sz w:val="32"/>
          <w:szCs w:val="32"/>
        </w:rPr>
        <w:t>亿元，比年初增加</w:t>
      </w:r>
      <w:r w:rsidRPr="00B30D5C">
        <w:rPr>
          <w:rFonts w:ascii="仿宋_GB2312" w:eastAsia="仿宋_GB2312" w:hAnsi="仿宋"/>
          <w:sz w:val="32"/>
          <w:szCs w:val="32"/>
        </w:rPr>
        <w:t>2</w:t>
      </w:r>
      <w:r w:rsidR="00627DA6" w:rsidRPr="00B30D5C">
        <w:rPr>
          <w:rFonts w:ascii="仿宋_GB2312" w:eastAsia="仿宋_GB2312" w:hAnsi="仿宋" w:hint="eastAsia"/>
          <w:sz w:val="32"/>
          <w:szCs w:val="32"/>
        </w:rPr>
        <w:t>66.22</w:t>
      </w:r>
      <w:r w:rsidRPr="00B30D5C">
        <w:rPr>
          <w:rFonts w:ascii="仿宋_GB2312" w:eastAsia="仿宋_GB2312" w:hAnsi="仿宋" w:hint="eastAsia"/>
          <w:sz w:val="32"/>
          <w:szCs w:val="32"/>
        </w:rPr>
        <w:t>亿元，同比增长</w:t>
      </w:r>
      <w:r w:rsidR="00D549E0" w:rsidRPr="00B30D5C">
        <w:rPr>
          <w:rFonts w:ascii="仿宋_GB2312" w:eastAsia="仿宋_GB2312" w:hAnsi="仿宋" w:hint="eastAsia"/>
          <w:sz w:val="32"/>
          <w:szCs w:val="32"/>
        </w:rPr>
        <w:t>14.6</w:t>
      </w:r>
      <w:r w:rsidRPr="00B30D5C">
        <w:rPr>
          <w:rFonts w:ascii="仿宋_GB2312" w:eastAsia="仿宋_GB2312" w:hAnsi="仿宋"/>
          <w:sz w:val="32"/>
          <w:szCs w:val="32"/>
        </w:rPr>
        <w:t>%</w:t>
      </w:r>
      <w:r w:rsidRPr="00B30D5C">
        <w:rPr>
          <w:rFonts w:ascii="仿宋_GB2312" w:eastAsia="仿宋_GB2312" w:hAnsi="仿宋" w:hint="eastAsia"/>
          <w:sz w:val="32"/>
          <w:szCs w:val="32"/>
        </w:rPr>
        <w:t>。</w:t>
      </w:r>
    </w:p>
    <w:p w:rsidR="004A0BEC" w:rsidRPr="004A0BEC" w:rsidRDefault="004A0BEC" w:rsidP="004A0BEC">
      <w:pPr>
        <w:widowControl/>
        <w:jc w:val="center"/>
        <w:rPr>
          <w:rFonts w:ascii="宋体" w:eastAsia="宋体" w:hAnsi="宋体" w:cs="Times New Roman"/>
          <w:sz w:val="28"/>
          <w:szCs w:val="28"/>
        </w:rPr>
      </w:pPr>
      <w:r w:rsidRPr="004A0BEC">
        <w:rPr>
          <w:rFonts w:ascii="宋体" w:eastAsia="宋体" w:hAnsi="宋体" w:cs="Times New Roman" w:hint="eastAsia"/>
          <w:sz w:val="28"/>
          <w:szCs w:val="28"/>
        </w:rPr>
        <w:t>表2</w:t>
      </w:r>
      <w:r w:rsidR="00E179B4">
        <w:rPr>
          <w:rFonts w:ascii="宋体" w:eastAsia="宋体" w:hAnsi="宋体" w:cs="Times New Roman" w:hint="eastAsia"/>
          <w:sz w:val="28"/>
          <w:szCs w:val="28"/>
        </w:rPr>
        <w:t>：</w:t>
      </w:r>
      <w:r w:rsidRPr="004A0BEC">
        <w:rPr>
          <w:rFonts w:ascii="宋体" w:eastAsia="宋体" w:hAnsi="宋体" w:cs="Times New Roman" w:hint="eastAsia"/>
          <w:sz w:val="28"/>
          <w:szCs w:val="28"/>
        </w:rPr>
        <w:t>年末金融机构存贷款情况</w:t>
      </w:r>
    </w:p>
    <w:tbl>
      <w:tblPr>
        <w:tblW w:w="7513" w:type="dxa"/>
        <w:jc w:val="center"/>
        <w:tblLook w:val="04A0" w:firstRow="1" w:lastRow="0" w:firstColumn="1" w:lastColumn="0" w:noHBand="0" w:noVBand="1"/>
      </w:tblPr>
      <w:tblGrid>
        <w:gridCol w:w="3112"/>
        <w:gridCol w:w="1205"/>
        <w:gridCol w:w="1495"/>
        <w:gridCol w:w="1701"/>
      </w:tblGrid>
      <w:tr w:rsidR="004A0BEC" w:rsidRPr="004A0BEC" w:rsidTr="004A0BEC">
        <w:trPr>
          <w:trHeight w:val="555"/>
          <w:jc w:val="center"/>
        </w:trPr>
        <w:tc>
          <w:tcPr>
            <w:tcW w:w="3112" w:type="dxa"/>
            <w:vMerge w:val="restart"/>
            <w:tcBorders>
              <w:top w:val="single" w:sz="12" w:space="0" w:color="auto"/>
              <w:left w:val="nil"/>
              <w:bottom w:val="single" w:sz="8" w:space="0" w:color="000000"/>
              <w:right w:val="single" w:sz="8" w:space="0" w:color="auto"/>
            </w:tcBorders>
            <w:shd w:val="clear" w:color="auto" w:fill="auto"/>
            <w:vAlign w:val="center"/>
            <w:hideMark/>
          </w:tcPr>
          <w:p w:rsidR="004A0BEC" w:rsidRPr="004A0BEC" w:rsidRDefault="004A0BEC" w:rsidP="004A0BEC">
            <w:pPr>
              <w:widowControl/>
              <w:jc w:val="center"/>
              <w:rPr>
                <w:rFonts w:ascii="宋体" w:eastAsia="宋体" w:hAnsi="宋体" w:cs="宋体"/>
                <w:color w:val="000000"/>
                <w:kern w:val="0"/>
                <w:szCs w:val="21"/>
              </w:rPr>
            </w:pPr>
            <w:r w:rsidRPr="004A0BEC">
              <w:rPr>
                <w:rFonts w:ascii="宋体" w:eastAsia="宋体" w:hAnsi="宋体" w:cs="宋体" w:hint="eastAsia"/>
                <w:color w:val="000000"/>
                <w:kern w:val="0"/>
                <w:szCs w:val="21"/>
              </w:rPr>
              <w:t>指 标</w:t>
            </w:r>
          </w:p>
        </w:tc>
        <w:tc>
          <w:tcPr>
            <w:tcW w:w="1205" w:type="dxa"/>
            <w:tcBorders>
              <w:top w:val="single" w:sz="12" w:space="0" w:color="auto"/>
              <w:left w:val="nil"/>
              <w:bottom w:val="nil"/>
              <w:right w:val="single" w:sz="8" w:space="0" w:color="auto"/>
            </w:tcBorders>
            <w:shd w:val="clear" w:color="auto" w:fill="auto"/>
            <w:vAlign w:val="center"/>
            <w:hideMark/>
          </w:tcPr>
          <w:p w:rsidR="004A0BEC" w:rsidRPr="004A0BEC" w:rsidRDefault="004A0BEC" w:rsidP="004A0BEC">
            <w:pPr>
              <w:widowControl/>
              <w:jc w:val="center"/>
              <w:rPr>
                <w:rFonts w:ascii="宋体" w:eastAsia="宋体" w:hAnsi="宋体" w:cs="宋体"/>
                <w:color w:val="000000"/>
                <w:kern w:val="0"/>
                <w:szCs w:val="21"/>
              </w:rPr>
            </w:pPr>
            <w:r w:rsidRPr="004A0BEC">
              <w:rPr>
                <w:rFonts w:ascii="宋体" w:eastAsia="宋体" w:hAnsi="宋体" w:cs="宋体" w:hint="eastAsia"/>
                <w:color w:val="000000"/>
                <w:kern w:val="0"/>
                <w:szCs w:val="21"/>
              </w:rPr>
              <w:t>绝对数</w:t>
            </w:r>
          </w:p>
        </w:tc>
        <w:tc>
          <w:tcPr>
            <w:tcW w:w="1495" w:type="dxa"/>
            <w:tcBorders>
              <w:top w:val="single" w:sz="12" w:space="0" w:color="auto"/>
              <w:left w:val="nil"/>
              <w:bottom w:val="nil"/>
              <w:right w:val="nil"/>
            </w:tcBorders>
            <w:shd w:val="clear" w:color="auto" w:fill="auto"/>
            <w:vAlign w:val="center"/>
            <w:hideMark/>
          </w:tcPr>
          <w:p w:rsidR="004A0BEC" w:rsidRPr="004A0BEC" w:rsidRDefault="004A0BEC" w:rsidP="004A0BEC">
            <w:pPr>
              <w:widowControl/>
              <w:jc w:val="center"/>
              <w:rPr>
                <w:rFonts w:ascii="宋体" w:eastAsia="宋体" w:hAnsi="宋体" w:cs="宋体"/>
                <w:color w:val="000000"/>
                <w:kern w:val="0"/>
                <w:szCs w:val="21"/>
              </w:rPr>
            </w:pPr>
            <w:r w:rsidRPr="004A0BEC">
              <w:rPr>
                <w:rFonts w:ascii="宋体" w:eastAsia="宋体" w:hAnsi="宋体" w:cs="宋体" w:hint="eastAsia"/>
                <w:color w:val="000000"/>
                <w:kern w:val="0"/>
                <w:szCs w:val="21"/>
              </w:rPr>
              <w:t>比年初增</w:t>
            </w:r>
            <w:r>
              <w:rPr>
                <w:rFonts w:ascii="宋体" w:eastAsia="宋体" w:hAnsi="宋体" w:cs="宋体" w:hint="eastAsia"/>
                <w:color w:val="000000"/>
                <w:kern w:val="0"/>
                <w:szCs w:val="21"/>
              </w:rPr>
              <w:t>加</w:t>
            </w:r>
          </w:p>
        </w:tc>
        <w:tc>
          <w:tcPr>
            <w:tcW w:w="1701" w:type="dxa"/>
            <w:tcBorders>
              <w:top w:val="single" w:sz="12" w:space="0" w:color="auto"/>
              <w:left w:val="single" w:sz="8" w:space="0" w:color="auto"/>
              <w:bottom w:val="nil"/>
              <w:right w:val="nil"/>
            </w:tcBorders>
            <w:shd w:val="clear" w:color="auto" w:fill="auto"/>
            <w:vAlign w:val="center"/>
            <w:hideMark/>
          </w:tcPr>
          <w:p w:rsidR="004A0BEC" w:rsidRPr="004A0BEC" w:rsidRDefault="004A0BEC" w:rsidP="004A0BEC">
            <w:pPr>
              <w:widowControl/>
              <w:jc w:val="center"/>
              <w:rPr>
                <w:rFonts w:ascii="宋体" w:eastAsia="宋体" w:hAnsi="宋体" w:cs="宋体"/>
                <w:color w:val="000000"/>
                <w:kern w:val="0"/>
                <w:szCs w:val="21"/>
              </w:rPr>
            </w:pPr>
            <w:r w:rsidRPr="004A0BEC">
              <w:rPr>
                <w:rFonts w:ascii="宋体" w:eastAsia="宋体" w:hAnsi="宋体" w:cs="宋体" w:hint="eastAsia"/>
                <w:color w:val="000000"/>
                <w:kern w:val="0"/>
                <w:szCs w:val="21"/>
              </w:rPr>
              <w:t>比上年末增长</w:t>
            </w:r>
          </w:p>
        </w:tc>
      </w:tr>
      <w:tr w:rsidR="004A0BEC" w:rsidRPr="004A0BEC" w:rsidTr="004A0BEC">
        <w:trPr>
          <w:trHeight w:val="72"/>
          <w:jc w:val="center"/>
        </w:trPr>
        <w:tc>
          <w:tcPr>
            <w:tcW w:w="3112" w:type="dxa"/>
            <w:vMerge/>
            <w:tcBorders>
              <w:top w:val="single" w:sz="12" w:space="0" w:color="auto"/>
              <w:left w:val="nil"/>
              <w:bottom w:val="single" w:sz="8" w:space="0" w:color="000000"/>
              <w:right w:val="single" w:sz="8" w:space="0" w:color="auto"/>
            </w:tcBorders>
            <w:vAlign w:val="center"/>
            <w:hideMark/>
          </w:tcPr>
          <w:p w:rsidR="004A0BEC" w:rsidRPr="004A0BEC" w:rsidRDefault="004A0BEC" w:rsidP="004A0BEC">
            <w:pPr>
              <w:widowControl/>
              <w:jc w:val="center"/>
              <w:rPr>
                <w:rFonts w:ascii="宋体" w:eastAsia="宋体" w:hAnsi="宋体" w:cs="宋体"/>
                <w:color w:val="000000"/>
                <w:kern w:val="0"/>
                <w:szCs w:val="21"/>
              </w:rPr>
            </w:pPr>
          </w:p>
        </w:tc>
        <w:tc>
          <w:tcPr>
            <w:tcW w:w="1205" w:type="dxa"/>
            <w:tcBorders>
              <w:top w:val="nil"/>
              <w:left w:val="nil"/>
              <w:bottom w:val="single" w:sz="8" w:space="0" w:color="auto"/>
              <w:right w:val="single" w:sz="8" w:space="0" w:color="auto"/>
            </w:tcBorders>
            <w:shd w:val="clear" w:color="auto" w:fill="auto"/>
            <w:vAlign w:val="center"/>
            <w:hideMark/>
          </w:tcPr>
          <w:p w:rsidR="004A0BEC" w:rsidRPr="004A0BEC" w:rsidRDefault="004A0BEC" w:rsidP="004A0BEC">
            <w:pPr>
              <w:widowControl/>
              <w:jc w:val="center"/>
              <w:rPr>
                <w:rFonts w:ascii="宋体" w:eastAsia="宋体" w:hAnsi="宋体" w:cs="宋体"/>
                <w:color w:val="000000"/>
                <w:kern w:val="0"/>
                <w:szCs w:val="21"/>
              </w:rPr>
            </w:pPr>
            <w:r w:rsidRPr="004A0BEC">
              <w:rPr>
                <w:rFonts w:ascii="宋体" w:eastAsia="宋体" w:hAnsi="宋体" w:cs="宋体" w:hint="eastAsia"/>
                <w:color w:val="000000"/>
                <w:kern w:val="0"/>
                <w:szCs w:val="21"/>
              </w:rPr>
              <w:t>（亿元）</w:t>
            </w:r>
          </w:p>
        </w:tc>
        <w:tc>
          <w:tcPr>
            <w:tcW w:w="1495" w:type="dxa"/>
            <w:tcBorders>
              <w:top w:val="nil"/>
              <w:left w:val="nil"/>
              <w:bottom w:val="single" w:sz="8" w:space="0" w:color="auto"/>
              <w:right w:val="nil"/>
            </w:tcBorders>
            <w:shd w:val="clear" w:color="auto" w:fill="auto"/>
            <w:vAlign w:val="center"/>
            <w:hideMark/>
          </w:tcPr>
          <w:p w:rsidR="004A0BEC" w:rsidRPr="004A0BEC" w:rsidRDefault="004A0BEC" w:rsidP="004A0BEC">
            <w:pPr>
              <w:widowControl/>
              <w:jc w:val="center"/>
              <w:rPr>
                <w:rFonts w:ascii="宋体" w:eastAsia="宋体" w:hAnsi="宋体" w:cs="宋体"/>
                <w:color w:val="000000"/>
                <w:kern w:val="0"/>
                <w:szCs w:val="21"/>
              </w:rPr>
            </w:pPr>
            <w:r w:rsidRPr="004A0BEC">
              <w:rPr>
                <w:rFonts w:ascii="宋体" w:eastAsia="宋体" w:hAnsi="宋体" w:cs="宋体" w:hint="eastAsia"/>
                <w:color w:val="000000"/>
                <w:kern w:val="0"/>
                <w:szCs w:val="21"/>
              </w:rPr>
              <w:t>（亿元）</w:t>
            </w:r>
          </w:p>
        </w:tc>
        <w:tc>
          <w:tcPr>
            <w:tcW w:w="1701" w:type="dxa"/>
            <w:tcBorders>
              <w:top w:val="nil"/>
              <w:left w:val="single" w:sz="8" w:space="0" w:color="auto"/>
              <w:bottom w:val="single" w:sz="8" w:space="0" w:color="auto"/>
              <w:right w:val="nil"/>
            </w:tcBorders>
            <w:shd w:val="clear" w:color="auto" w:fill="auto"/>
            <w:vAlign w:val="center"/>
            <w:hideMark/>
          </w:tcPr>
          <w:p w:rsidR="004A0BEC" w:rsidRPr="004A0BEC" w:rsidRDefault="004A0BEC" w:rsidP="004A0BEC">
            <w:pPr>
              <w:widowControl/>
              <w:jc w:val="center"/>
              <w:rPr>
                <w:rFonts w:ascii="宋体" w:eastAsia="宋体" w:hAnsi="宋体" w:cs="宋体"/>
                <w:color w:val="000000"/>
                <w:kern w:val="0"/>
                <w:szCs w:val="21"/>
              </w:rPr>
            </w:pPr>
            <w:r w:rsidRPr="004A0BEC">
              <w:rPr>
                <w:rFonts w:ascii="宋体" w:eastAsia="宋体" w:hAnsi="宋体" w:cs="宋体" w:hint="eastAsia"/>
                <w:color w:val="000000"/>
                <w:kern w:val="0"/>
                <w:szCs w:val="21"/>
              </w:rPr>
              <w:t>（%）</w:t>
            </w:r>
          </w:p>
        </w:tc>
      </w:tr>
      <w:tr w:rsidR="004A0BEC" w:rsidRPr="004A0BEC" w:rsidTr="004A0BEC">
        <w:trPr>
          <w:trHeight w:val="300"/>
          <w:jc w:val="center"/>
        </w:trPr>
        <w:tc>
          <w:tcPr>
            <w:tcW w:w="3112" w:type="dxa"/>
            <w:tcBorders>
              <w:top w:val="nil"/>
              <w:left w:val="nil"/>
              <w:bottom w:val="single" w:sz="8" w:space="0" w:color="auto"/>
              <w:right w:val="single" w:sz="8" w:space="0" w:color="auto"/>
            </w:tcBorders>
            <w:shd w:val="clear" w:color="auto" w:fill="auto"/>
            <w:vAlign w:val="bottom"/>
            <w:hideMark/>
          </w:tcPr>
          <w:p w:rsidR="004A0BEC" w:rsidRPr="004A0BEC" w:rsidRDefault="004A0BEC" w:rsidP="004A0BEC">
            <w:pPr>
              <w:widowControl/>
              <w:jc w:val="left"/>
              <w:rPr>
                <w:rFonts w:ascii="宋体" w:eastAsia="宋体" w:hAnsi="宋体" w:cs="宋体"/>
                <w:color w:val="000000"/>
                <w:kern w:val="0"/>
                <w:szCs w:val="21"/>
              </w:rPr>
            </w:pPr>
            <w:r w:rsidRPr="004A0BEC">
              <w:rPr>
                <w:rFonts w:ascii="宋体" w:eastAsia="宋体" w:hAnsi="宋体" w:cs="宋体" w:hint="eastAsia"/>
                <w:color w:val="000000"/>
                <w:kern w:val="0"/>
                <w:szCs w:val="21"/>
              </w:rPr>
              <w:t>各项存款余额</w:t>
            </w:r>
          </w:p>
        </w:tc>
        <w:tc>
          <w:tcPr>
            <w:tcW w:w="1205" w:type="dxa"/>
            <w:tcBorders>
              <w:top w:val="nil"/>
              <w:left w:val="nil"/>
              <w:bottom w:val="single" w:sz="8" w:space="0" w:color="auto"/>
              <w:right w:val="single" w:sz="8" w:space="0" w:color="auto"/>
            </w:tcBorders>
            <w:shd w:val="clear" w:color="auto" w:fill="auto"/>
            <w:vAlign w:val="bottom"/>
            <w:hideMark/>
          </w:tcPr>
          <w:p w:rsidR="004A0BEC" w:rsidRPr="004A0BEC" w:rsidRDefault="004A0BEC" w:rsidP="004A0BEC">
            <w:pPr>
              <w:widowControl/>
              <w:jc w:val="center"/>
              <w:rPr>
                <w:rFonts w:ascii="宋体" w:eastAsia="宋体" w:hAnsi="宋体" w:cs="宋体"/>
                <w:kern w:val="0"/>
                <w:szCs w:val="21"/>
              </w:rPr>
            </w:pPr>
            <w:r w:rsidRPr="004A0BEC">
              <w:rPr>
                <w:rFonts w:ascii="宋体" w:eastAsia="宋体" w:hAnsi="宋体" w:cs="宋体" w:hint="eastAsia"/>
                <w:kern w:val="0"/>
                <w:szCs w:val="21"/>
              </w:rPr>
              <w:t>2555.48</w:t>
            </w:r>
          </w:p>
        </w:tc>
        <w:tc>
          <w:tcPr>
            <w:tcW w:w="1495" w:type="dxa"/>
            <w:tcBorders>
              <w:top w:val="nil"/>
              <w:left w:val="nil"/>
              <w:bottom w:val="single" w:sz="8" w:space="0" w:color="auto"/>
              <w:right w:val="nil"/>
            </w:tcBorders>
            <w:shd w:val="clear" w:color="auto" w:fill="auto"/>
            <w:vAlign w:val="bottom"/>
            <w:hideMark/>
          </w:tcPr>
          <w:p w:rsidR="004A0BEC" w:rsidRPr="004A0BEC" w:rsidRDefault="004A0BEC" w:rsidP="004A0BEC">
            <w:pPr>
              <w:widowControl/>
              <w:jc w:val="center"/>
              <w:rPr>
                <w:rFonts w:ascii="宋体" w:eastAsia="宋体" w:hAnsi="宋体" w:cs="宋体"/>
                <w:kern w:val="0"/>
                <w:szCs w:val="21"/>
              </w:rPr>
            </w:pPr>
            <w:r w:rsidRPr="004A0BEC">
              <w:rPr>
                <w:rFonts w:ascii="宋体" w:eastAsia="宋体" w:hAnsi="宋体" w:cs="宋体" w:hint="eastAsia"/>
                <w:kern w:val="0"/>
                <w:szCs w:val="21"/>
              </w:rPr>
              <w:t>391.56</w:t>
            </w:r>
          </w:p>
        </w:tc>
        <w:tc>
          <w:tcPr>
            <w:tcW w:w="1701" w:type="dxa"/>
            <w:tcBorders>
              <w:top w:val="nil"/>
              <w:left w:val="single" w:sz="4" w:space="0" w:color="auto"/>
              <w:bottom w:val="single" w:sz="8" w:space="0" w:color="auto"/>
              <w:right w:val="nil"/>
            </w:tcBorders>
            <w:shd w:val="clear" w:color="auto" w:fill="auto"/>
            <w:vAlign w:val="bottom"/>
            <w:hideMark/>
          </w:tcPr>
          <w:p w:rsidR="004A0BEC" w:rsidRPr="004A0BEC" w:rsidRDefault="004A0BEC" w:rsidP="004A0BEC">
            <w:pPr>
              <w:widowControl/>
              <w:jc w:val="center"/>
              <w:rPr>
                <w:rFonts w:ascii="宋体" w:eastAsia="宋体" w:hAnsi="宋体" w:cs="宋体"/>
                <w:color w:val="000000"/>
                <w:kern w:val="0"/>
                <w:szCs w:val="21"/>
              </w:rPr>
            </w:pPr>
            <w:r w:rsidRPr="004A0BEC">
              <w:rPr>
                <w:rFonts w:ascii="宋体" w:eastAsia="宋体" w:hAnsi="宋体" w:cs="宋体" w:hint="eastAsia"/>
                <w:color w:val="000000"/>
                <w:kern w:val="0"/>
                <w:szCs w:val="21"/>
              </w:rPr>
              <w:t>18.1</w:t>
            </w:r>
          </w:p>
        </w:tc>
      </w:tr>
      <w:tr w:rsidR="004A0BEC" w:rsidRPr="004A0BEC" w:rsidTr="004A0BEC">
        <w:trPr>
          <w:trHeight w:val="300"/>
          <w:jc w:val="center"/>
        </w:trPr>
        <w:tc>
          <w:tcPr>
            <w:tcW w:w="3112" w:type="dxa"/>
            <w:tcBorders>
              <w:top w:val="nil"/>
              <w:left w:val="nil"/>
              <w:bottom w:val="single" w:sz="8" w:space="0" w:color="auto"/>
              <w:right w:val="single" w:sz="8" w:space="0" w:color="auto"/>
            </w:tcBorders>
            <w:shd w:val="clear" w:color="auto" w:fill="auto"/>
            <w:vAlign w:val="bottom"/>
            <w:hideMark/>
          </w:tcPr>
          <w:p w:rsidR="004A0BEC" w:rsidRPr="004A0BEC" w:rsidRDefault="004A0BEC" w:rsidP="004A0BEC">
            <w:pPr>
              <w:widowControl/>
              <w:jc w:val="left"/>
              <w:rPr>
                <w:rFonts w:ascii="宋体" w:eastAsia="宋体" w:hAnsi="宋体" w:cs="宋体"/>
                <w:color w:val="000000"/>
                <w:kern w:val="0"/>
                <w:szCs w:val="21"/>
              </w:rPr>
            </w:pPr>
            <w:r>
              <w:rPr>
                <w:rFonts w:ascii="宋体" w:eastAsia="宋体" w:hAnsi="宋体" w:cs="宋体" w:hint="eastAsia"/>
                <w:kern w:val="0"/>
                <w:szCs w:val="21"/>
              </w:rPr>
              <w:t xml:space="preserve"> </w:t>
            </w:r>
            <w:r w:rsidRPr="004A0BEC">
              <w:rPr>
                <w:rFonts w:ascii="宋体" w:eastAsia="宋体" w:hAnsi="宋体" w:cs="宋体" w:hint="eastAsia"/>
                <w:kern w:val="0"/>
                <w:szCs w:val="21"/>
              </w:rPr>
              <w:t>＃</w:t>
            </w:r>
            <w:r w:rsidRPr="004A0BEC">
              <w:rPr>
                <w:rFonts w:ascii="宋体" w:eastAsia="宋体" w:hAnsi="宋体" w:cs="宋体" w:hint="eastAsia"/>
                <w:color w:val="000000"/>
                <w:kern w:val="0"/>
                <w:szCs w:val="21"/>
              </w:rPr>
              <w:t>住户存款</w:t>
            </w:r>
          </w:p>
        </w:tc>
        <w:tc>
          <w:tcPr>
            <w:tcW w:w="1205" w:type="dxa"/>
            <w:tcBorders>
              <w:top w:val="nil"/>
              <w:left w:val="nil"/>
              <w:bottom w:val="single" w:sz="8" w:space="0" w:color="auto"/>
              <w:right w:val="single" w:sz="8" w:space="0" w:color="auto"/>
            </w:tcBorders>
            <w:shd w:val="clear" w:color="auto" w:fill="auto"/>
            <w:vAlign w:val="bottom"/>
            <w:hideMark/>
          </w:tcPr>
          <w:p w:rsidR="004A0BEC" w:rsidRPr="004A0BEC" w:rsidRDefault="004A0BEC" w:rsidP="004A0BEC">
            <w:pPr>
              <w:widowControl/>
              <w:jc w:val="center"/>
              <w:rPr>
                <w:rFonts w:ascii="宋体" w:eastAsia="宋体" w:hAnsi="宋体" w:cs="宋体"/>
                <w:kern w:val="0"/>
                <w:szCs w:val="21"/>
              </w:rPr>
            </w:pPr>
            <w:r w:rsidRPr="004A0BEC">
              <w:rPr>
                <w:rFonts w:ascii="宋体" w:eastAsia="宋体" w:hAnsi="宋体" w:cs="宋体" w:hint="eastAsia"/>
                <w:kern w:val="0"/>
                <w:szCs w:val="21"/>
              </w:rPr>
              <w:t>1179.91</w:t>
            </w:r>
          </w:p>
        </w:tc>
        <w:tc>
          <w:tcPr>
            <w:tcW w:w="1495" w:type="dxa"/>
            <w:tcBorders>
              <w:top w:val="nil"/>
              <w:left w:val="nil"/>
              <w:bottom w:val="single" w:sz="8" w:space="0" w:color="auto"/>
              <w:right w:val="nil"/>
            </w:tcBorders>
            <w:shd w:val="clear" w:color="auto" w:fill="auto"/>
            <w:vAlign w:val="bottom"/>
            <w:hideMark/>
          </w:tcPr>
          <w:p w:rsidR="004A0BEC" w:rsidRPr="004A0BEC" w:rsidRDefault="004A0BEC" w:rsidP="004A0BEC">
            <w:pPr>
              <w:widowControl/>
              <w:jc w:val="center"/>
              <w:rPr>
                <w:rFonts w:ascii="宋体" w:eastAsia="宋体" w:hAnsi="宋体" w:cs="宋体"/>
                <w:kern w:val="0"/>
                <w:szCs w:val="21"/>
              </w:rPr>
            </w:pPr>
            <w:r w:rsidRPr="004A0BEC">
              <w:rPr>
                <w:rFonts w:ascii="宋体" w:eastAsia="宋体" w:hAnsi="宋体" w:cs="宋体" w:hint="eastAsia"/>
                <w:kern w:val="0"/>
                <w:szCs w:val="21"/>
              </w:rPr>
              <w:t>123.94</w:t>
            </w:r>
          </w:p>
        </w:tc>
        <w:tc>
          <w:tcPr>
            <w:tcW w:w="1701" w:type="dxa"/>
            <w:tcBorders>
              <w:top w:val="nil"/>
              <w:left w:val="single" w:sz="4" w:space="0" w:color="auto"/>
              <w:bottom w:val="single" w:sz="8" w:space="0" w:color="auto"/>
              <w:right w:val="nil"/>
            </w:tcBorders>
            <w:shd w:val="clear" w:color="auto" w:fill="auto"/>
            <w:vAlign w:val="bottom"/>
            <w:hideMark/>
          </w:tcPr>
          <w:p w:rsidR="004A0BEC" w:rsidRPr="004A0BEC" w:rsidRDefault="004A0BEC" w:rsidP="004A0BEC">
            <w:pPr>
              <w:widowControl/>
              <w:jc w:val="center"/>
              <w:rPr>
                <w:rFonts w:ascii="宋体" w:eastAsia="宋体" w:hAnsi="宋体" w:cs="宋体"/>
                <w:color w:val="000000"/>
                <w:kern w:val="0"/>
                <w:szCs w:val="21"/>
              </w:rPr>
            </w:pPr>
            <w:r w:rsidRPr="004A0BEC">
              <w:rPr>
                <w:rFonts w:ascii="宋体" w:eastAsia="宋体" w:hAnsi="宋体" w:cs="宋体" w:hint="eastAsia"/>
                <w:color w:val="000000"/>
                <w:kern w:val="0"/>
                <w:szCs w:val="21"/>
              </w:rPr>
              <w:t>11.7</w:t>
            </w:r>
          </w:p>
        </w:tc>
      </w:tr>
      <w:tr w:rsidR="004A0BEC" w:rsidRPr="004A0BEC" w:rsidTr="004A0BEC">
        <w:trPr>
          <w:trHeight w:val="300"/>
          <w:jc w:val="center"/>
        </w:trPr>
        <w:tc>
          <w:tcPr>
            <w:tcW w:w="3112" w:type="dxa"/>
            <w:tcBorders>
              <w:top w:val="nil"/>
              <w:left w:val="nil"/>
              <w:bottom w:val="single" w:sz="8" w:space="0" w:color="auto"/>
              <w:right w:val="single" w:sz="8" w:space="0" w:color="auto"/>
            </w:tcBorders>
            <w:shd w:val="clear" w:color="auto" w:fill="auto"/>
            <w:vAlign w:val="bottom"/>
            <w:hideMark/>
          </w:tcPr>
          <w:p w:rsidR="004A0BEC" w:rsidRPr="004A0BEC" w:rsidRDefault="004A0BEC" w:rsidP="004A0BEC">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sidRPr="004A0BEC">
              <w:rPr>
                <w:rFonts w:ascii="宋体" w:eastAsia="宋体" w:hAnsi="宋体" w:cs="宋体" w:hint="eastAsia"/>
                <w:color w:val="000000"/>
                <w:kern w:val="0"/>
                <w:szCs w:val="21"/>
              </w:rPr>
              <w:t>非金融企业存款</w:t>
            </w:r>
          </w:p>
        </w:tc>
        <w:tc>
          <w:tcPr>
            <w:tcW w:w="1205" w:type="dxa"/>
            <w:tcBorders>
              <w:top w:val="nil"/>
              <w:left w:val="nil"/>
              <w:bottom w:val="single" w:sz="8" w:space="0" w:color="auto"/>
              <w:right w:val="single" w:sz="8" w:space="0" w:color="auto"/>
            </w:tcBorders>
            <w:shd w:val="clear" w:color="auto" w:fill="auto"/>
            <w:vAlign w:val="bottom"/>
            <w:hideMark/>
          </w:tcPr>
          <w:p w:rsidR="004A0BEC" w:rsidRPr="004A0BEC" w:rsidRDefault="004A0BEC" w:rsidP="004A0BEC">
            <w:pPr>
              <w:widowControl/>
              <w:jc w:val="center"/>
              <w:rPr>
                <w:rFonts w:ascii="宋体" w:eastAsia="宋体" w:hAnsi="宋体" w:cs="宋体"/>
                <w:kern w:val="0"/>
                <w:szCs w:val="21"/>
              </w:rPr>
            </w:pPr>
            <w:r w:rsidRPr="004A0BEC">
              <w:rPr>
                <w:rFonts w:ascii="宋体" w:eastAsia="宋体" w:hAnsi="宋体" w:cs="宋体" w:hint="eastAsia"/>
                <w:kern w:val="0"/>
                <w:szCs w:val="21"/>
              </w:rPr>
              <w:t>866.31</w:t>
            </w:r>
          </w:p>
        </w:tc>
        <w:tc>
          <w:tcPr>
            <w:tcW w:w="1495" w:type="dxa"/>
            <w:tcBorders>
              <w:top w:val="nil"/>
              <w:left w:val="nil"/>
              <w:bottom w:val="single" w:sz="8" w:space="0" w:color="auto"/>
              <w:right w:val="nil"/>
            </w:tcBorders>
            <w:shd w:val="clear" w:color="auto" w:fill="auto"/>
            <w:vAlign w:val="bottom"/>
            <w:hideMark/>
          </w:tcPr>
          <w:p w:rsidR="004A0BEC" w:rsidRPr="004A0BEC" w:rsidRDefault="004A0BEC" w:rsidP="004A0BEC">
            <w:pPr>
              <w:widowControl/>
              <w:jc w:val="center"/>
              <w:rPr>
                <w:rFonts w:ascii="宋体" w:eastAsia="宋体" w:hAnsi="宋体" w:cs="宋体"/>
                <w:kern w:val="0"/>
                <w:szCs w:val="21"/>
              </w:rPr>
            </w:pPr>
            <w:r w:rsidRPr="004A0BEC">
              <w:rPr>
                <w:rFonts w:ascii="宋体" w:eastAsia="宋体" w:hAnsi="宋体" w:cs="宋体" w:hint="eastAsia"/>
                <w:kern w:val="0"/>
                <w:szCs w:val="21"/>
              </w:rPr>
              <w:t>169.52</w:t>
            </w:r>
          </w:p>
        </w:tc>
        <w:tc>
          <w:tcPr>
            <w:tcW w:w="1701" w:type="dxa"/>
            <w:tcBorders>
              <w:top w:val="nil"/>
              <w:left w:val="single" w:sz="4" w:space="0" w:color="auto"/>
              <w:bottom w:val="single" w:sz="8" w:space="0" w:color="auto"/>
              <w:right w:val="nil"/>
            </w:tcBorders>
            <w:shd w:val="clear" w:color="auto" w:fill="auto"/>
            <w:vAlign w:val="bottom"/>
            <w:hideMark/>
          </w:tcPr>
          <w:p w:rsidR="004A0BEC" w:rsidRPr="004A0BEC" w:rsidRDefault="004A0BEC" w:rsidP="004A0BEC">
            <w:pPr>
              <w:widowControl/>
              <w:jc w:val="center"/>
              <w:rPr>
                <w:rFonts w:ascii="宋体" w:eastAsia="宋体" w:hAnsi="宋体" w:cs="宋体"/>
                <w:color w:val="000000"/>
                <w:kern w:val="0"/>
                <w:szCs w:val="21"/>
              </w:rPr>
            </w:pPr>
            <w:r w:rsidRPr="004A0BEC">
              <w:rPr>
                <w:rFonts w:ascii="宋体" w:eastAsia="宋体" w:hAnsi="宋体" w:cs="宋体" w:hint="eastAsia"/>
                <w:color w:val="000000"/>
                <w:kern w:val="0"/>
                <w:szCs w:val="21"/>
              </w:rPr>
              <w:t>24.3</w:t>
            </w:r>
          </w:p>
        </w:tc>
      </w:tr>
      <w:tr w:rsidR="004A0BEC" w:rsidRPr="004A0BEC" w:rsidTr="004A0BEC">
        <w:trPr>
          <w:trHeight w:val="300"/>
          <w:jc w:val="center"/>
        </w:trPr>
        <w:tc>
          <w:tcPr>
            <w:tcW w:w="3112" w:type="dxa"/>
            <w:tcBorders>
              <w:top w:val="nil"/>
              <w:left w:val="nil"/>
              <w:bottom w:val="single" w:sz="8" w:space="0" w:color="auto"/>
              <w:right w:val="single" w:sz="8" w:space="0" w:color="auto"/>
            </w:tcBorders>
            <w:shd w:val="clear" w:color="auto" w:fill="auto"/>
            <w:vAlign w:val="bottom"/>
            <w:hideMark/>
          </w:tcPr>
          <w:p w:rsidR="004A0BEC" w:rsidRPr="004A0BEC" w:rsidRDefault="004A0BEC" w:rsidP="004A0BEC">
            <w:pPr>
              <w:widowControl/>
              <w:jc w:val="left"/>
              <w:rPr>
                <w:rFonts w:ascii="宋体" w:eastAsia="宋体" w:hAnsi="宋体" w:cs="宋体"/>
                <w:color w:val="000000"/>
                <w:kern w:val="0"/>
                <w:szCs w:val="21"/>
              </w:rPr>
            </w:pPr>
            <w:r w:rsidRPr="004A0BEC">
              <w:rPr>
                <w:rFonts w:ascii="宋体" w:eastAsia="宋体" w:hAnsi="宋体" w:cs="宋体" w:hint="eastAsia"/>
                <w:color w:val="000000"/>
                <w:kern w:val="0"/>
                <w:szCs w:val="21"/>
              </w:rPr>
              <w:t>各项贷款余额</w:t>
            </w:r>
          </w:p>
        </w:tc>
        <w:tc>
          <w:tcPr>
            <w:tcW w:w="1205" w:type="dxa"/>
            <w:tcBorders>
              <w:top w:val="nil"/>
              <w:left w:val="nil"/>
              <w:bottom w:val="single" w:sz="8" w:space="0" w:color="auto"/>
              <w:right w:val="single" w:sz="8" w:space="0" w:color="auto"/>
            </w:tcBorders>
            <w:shd w:val="clear" w:color="auto" w:fill="auto"/>
            <w:vAlign w:val="bottom"/>
            <w:hideMark/>
          </w:tcPr>
          <w:p w:rsidR="004A0BEC" w:rsidRPr="004A0BEC" w:rsidRDefault="004A0BEC" w:rsidP="004A0BEC">
            <w:pPr>
              <w:widowControl/>
              <w:jc w:val="center"/>
              <w:rPr>
                <w:rFonts w:ascii="宋体" w:eastAsia="宋体" w:hAnsi="宋体" w:cs="宋体"/>
                <w:kern w:val="0"/>
                <w:szCs w:val="21"/>
              </w:rPr>
            </w:pPr>
            <w:r w:rsidRPr="004A0BEC">
              <w:rPr>
                <w:rFonts w:ascii="宋体" w:eastAsia="宋体" w:hAnsi="宋体" w:cs="宋体" w:hint="eastAsia"/>
                <w:kern w:val="0"/>
                <w:szCs w:val="21"/>
              </w:rPr>
              <w:t>2093.9</w:t>
            </w:r>
          </w:p>
        </w:tc>
        <w:tc>
          <w:tcPr>
            <w:tcW w:w="1495" w:type="dxa"/>
            <w:tcBorders>
              <w:top w:val="nil"/>
              <w:left w:val="nil"/>
              <w:bottom w:val="single" w:sz="8" w:space="0" w:color="auto"/>
              <w:right w:val="nil"/>
            </w:tcBorders>
            <w:shd w:val="clear" w:color="auto" w:fill="auto"/>
            <w:vAlign w:val="bottom"/>
            <w:hideMark/>
          </w:tcPr>
          <w:p w:rsidR="004A0BEC" w:rsidRPr="004A0BEC" w:rsidRDefault="004A0BEC" w:rsidP="004A0BEC">
            <w:pPr>
              <w:widowControl/>
              <w:jc w:val="center"/>
              <w:rPr>
                <w:rFonts w:ascii="宋体" w:eastAsia="宋体" w:hAnsi="宋体" w:cs="宋体"/>
                <w:kern w:val="0"/>
                <w:szCs w:val="21"/>
              </w:rPr>
            </w:pPr>
            <w:r w:rsidRPr="004A0BEC">
              <w:rPr>
                <w:rFonts w:ascii="宋体" w:eastAsia="宋体" w:hAnsi="宋体" w:cs="宋体" w:hint="eastAsia"/>
                <w:kern w:val="0"/>
                <w:szCs w:val="21"/>
              </w:rPr>
              <w:t>266.22</w:t>
            </w:r>
          </w:p>
        </w:tc>
        <w:tc>
          <w:tcPr>
            <w:tcW w:w="1701" w:type="dxa"/>
            <w:tcBorders>
              <w:top w:val="nil"/>
              <w:left w:val="single" w:sz="4" w:space="0" w:color="auto"/>
              <w:bottom w:val="single" w:sz="8" w:space="0" w:color="auto"/>
              <w:right w:val="nil"/>
            </w:tcBorders>
            <w:shd w:val="clear" w:color="auto" w:fill="auto"/>
            <w:vAlign w:val="bottom"/>
            <w:hideMark/>
          </w:tcPr>
          <w:p w:rsidR="004A0BEC" w:rsidRPr="004A0BEC" w:rsidRDefault="004A0BEC" w:rsidP="004A0BEC">
            <w:pPr>
              <w:widowControl/>
              <w:jc w:val="center"/>
              <w:rPr>
                <w:rFonts w:ascii="宋体" w:eastAsia="宋体" w:hAnsi="宋体" w:cs="宋体"/>
                <w:color w:val="000000"/>
                <w:kern w:val="0"/>
                <w:szCs w:val="21"/>
              </w:rPr>
            </w:pPr>
            <w:r w:rsidRPr="004A0BEC">
              <w:rPr>
                <w:rFonts w:ascii="宋体" w:eastAsia="宋体" w:hAnsi="宋体" w:cs="宋体" w:hint="eastAsia"/>
                <w:color w:val="000000"/>
                <w:kern w:val="0"/>
                <w:szCs w:val="21"/>
              </w:rPr>
              <w:t>14.6</w:t>
            </w:r>
          </w:p>
        </w:tc>
      </w:tr>
      <w:tr w:rsidR="004A0BEC" w:rsidRPr="004A0BEC" w:rsidTr="004A0BEC">
        <w:trPr>
          <w:trHeight w:val="300"/>
          <w:jc w:val="center"/>
        </w:trPr>
        <w:tc>
          <w:tcPr>
            <w:tcW w:w="3112" w:type="dxa"/>
            <w:tcBorders>
              <w:top w:val="nil"/>
              <w:left w:val="nil"/>
              <w:bottom w:val="single" w:sz="8" w:space="0" w:color="auto"/>
              <w:right w:val="single" w:sz="8" w:space="0" w:color="auto"/>
            </w:tcBorders>
            <w:shd w:val="clear" w:color="auto" w:fill="auto"/>
            <w:noWrap/>
            <w:vAlign w:val="bottom"/>
            <w:hideMark/>
          </w:tcPr>
          <w:p w:rsidR="004A0BEC" w:rsidRPr="004A0BEC" w:rsidRDefault="004A0BEC" w:rsidP="004A0BEC">
            <w:pPr>
              <w:widowControl/>
              <w:jc w:val="left"/>
              <w:rPr>
                <w:rFonts w:ascii="宋体" w:eastAsia="宋体" w:hAnsi="宋体" w:cs="宋体"/>
                <w:kern w:val="0"/>
                <w:szCs w:val="21"/>
              </w:rPr>
            </w:pPr>
            <w:r>
              <w:rPr>
                <w:rFonts w:ascii="宋体" w:eastAsia="宋体" w:hAnsi="宋体" w:cs="宋体" w:hint="eastAsia"/>
                <w:kern w:val="0"/>
                <w:szCs w:val="21"/>
              </w:rPr>
              <w:t xml:space="preserve"> </w:t>
            </w:r>
            <w:r w:rsidRPr="004A0BEC">
              <w:rPr>
                <w:rFonts w:ascii="宋体" w:eastAsia="宋体" w:hAnsi="宋体" w:cs="宋体" w:hint="eastAsia"/>
                <w:kern w:val="0"/>
                <w:szCs w:val="21"/>
              </w:rPr>
              <w:t>＃住户贷款</w:t>
            </w:r>
          </w:p>
        </w:tc>
        <w:tc>
          <w:tcPr>
            <w:tcW w:w="1205" w:type="dxa"/>
            <w:tcBorders>
              <w:top w:val="nil"/>
              <w:left w:val="nil"/>
              <w:bottom w:val="single" w:sz="8" w:space="0" w:color="auto"/>
              <w:right w:val="single" w:sz="8" w:space="0" w:color="auto"/>
            </w:tcBorders>
            <w:shd w:val="clear" w:color="auto" w:fill="auto"/>
            <w:vAlign w:val="bottom"/>
            <w:hideMark/>
          </w:tcPr>
          <w:p w:rsidR="004A0BEC" w:rsidRPr="004A0BEC" w:rsidRDefault="004A0BEC" w:rsidP="004A0BEC">
            <w:pPr>
              <w:widowControl/>
              <w:jc w:val="center"/>
              <w:rPr>
                <w:rFonts w:ascii="宋体" w:eastAsia="宋体" w:hAnsi="宋体" w:cs="宋体"/>
                <w:kern w:val="0"/>
                <w:szCs w:val="21"/>
              </w:rPr>
            </w:pPr>
            <w:r w:rsidRPr="004A0BEC">
              <w:rPr>
                <w:rFonts w:ascii="宋体" w:eastAsia="宋体" w:hAnsi="宋体" w:cs="宋体" w:hint="eastAsia"/>
                <w:kern w:val="0"/>
                <w:szCs w:val="21"/>
              </w:rPr>
              <w:t>792.91</w:t>
            </w:r>
          </w:p>
        </w:tc>
        <w:tc>
          <w:tcPr>
            <w:tcW w:w="1495" w:type="dxa"/>
            <w:tcBorders>
              <w:top w:val="nil"/>
              <w:left w:val="nil"/>
              <w:bottom w:val="single" w:sz="8" w:space="0" w:color="auto"/>
              <w:right w:val="nil"/>
            </w:tcBorders>
            <w:shd w:val="clear" w:color="auto" w:fill="auto"/>
            <w:vAlign w:val="bottom"/>
            <w:hideMark/>
          </w:tcPr>
          <w:p w:rsidR="004A0BEC" w:rsidRPr="004A0BEC" w:rsidRDefault="004A0BEC" w:rsidP="004A0BEC">
            <w:pPr>
              <w:widowControl/>
              <w:jc w:val="center"/>
              <w:rPr>
                <w:rFonts w:ascii="宋体" w:eastAsia="宋体" w:hAnsi="宋体" w:cs="宋体"/>
                <w:kern w:val="0"/>
                <w:szCs w:val="21"/>
              </w:rPr>
            </w:pPr>
            <w:r w:rsidRPr="004A0BEC">
              <w:rPr>
                <w:rFonts w:ascii="宋体" w:eastAsia="宋体" w:hAnsi="宋体" w:cs="宋体" w:hint="eastAsia"/>
                <w:kern w:val="0"/>
                <w:szCs w:val="21"/>
              </w:rPr>
              <w:t>139.9</w:t>
            </w:r>
          </w:p>
        </w:tc>
        <w:tc>
          <w:tcPr>
            <w:tcW w:w="1701" w:type="dxa"/>
            <w:tcBorders>
              <w:top w:val="nil"/>
              <w:left w:val="single" w:sz="4" w:space="0" w:color="auto"/>
              <w:bottom w:val="single" w:sz="8" w:space="0" w:color="auto"/>
              <w:right w:val="nil"/>
            </w:tcBorders>
            <w:shd w:val="clear" w:color="auto" w:fill="auto"/>
            <w:vAlign w:val="bottom"/>
            <w:hideMark/>
          </w:tcPr>
          <w:p w:rsidR="004A0BEC" w:rsidRPr="004A0BEC" w:rsidRDefault="004A0BEC" w:rsidP="004A0BEC">
            <w:pPr>
              <w:widowControl/>
              <w:jc w:val="center"/>
              <w:rPr>
                <w:rFonts w:ascii="宋体" w:eastAsia="宋体" w:hAnsi="宋体" w:cs="宋体"/>
                <w:color w:val="000000"/>
                <w:kern w:val="0"/>
                <w:szCs w:val="21"/>
              </w:rPr>
            </w:pPr>
            <w:r w:rsidRPr="004A0BEC">
              <w:rPr>
                <w:rFonts w:ascii="宋体" w:eastAsia="宋体" w:hAnsi="宋体" w:cs="宋体" w:hint="eastAsia"/>
                <w:color w:val="000000"/>
                <w:kern w:val="0"/>
                <w:szCs w:val="21"/>
              </w:rPr>
              <w:t>21.4</w:t>
            </w:r>
          </w:p>
        </w:tc>
      </w:tr>
      <w:tr w:rsidR="004A0BEC" w:rsidRPr="004A0BEC" w:rsidTr="004A0BEC">
        <w:trPr>
          <w:trHeight w:val="300"/>
          <w:jc w:val="center"/>
        </w:trPr>
        <w:tc>
          <w:tcPr>
            <w:tcW w:w="3112" w:type="dxa"/>
            <w:tcBorders>
              <w:top w:val="nil"/>
              <w:left w:val="nil"/>
              <w:bottom w:val="single" w:sz="8" w:space="0" w:color="auto"/>
              <w:right w:val="single" w:sz="8" w:space="0" w:color="auto"/>
            </w:tcBorders>
            <w:shd w:val="clear" w:color="auto" w:fill="auto"/>
            <w:noWrap/>
            <w:vAlign w:val="bottom"/>
            <w:hideMark/>
          </w:tcPr>
          <w:p w:rsidR="004A0BEC" w:rsidRPr="004A0BEC" w:rsidRDefault="004A0BEC" w:rsidP="004A0BEC">
            <w:pPr>
              <w:widowControl/>
              <w:jc w:val="left"/>
              <w:rPr>
                <w:rFonts w:ascii="宋体" w:eastAsia="宋体" w:hAnsi="宋体" w:cs="宋体"/>
                <w:kern w:val="0"/>
                <w:szCs w:val="21"/>
              </w:rPr>
            </w:pPr>
            <w:r>
              <w:rPr>
                <w:rFonts w:ascii="宋体" w:eastAsia="宋体" w:hAnsi="宋体" w:cs="宋体" w:hint="eastAsia"/>
                <w:kern w:val="0"/>
                <w:szCs w:val="21"/>
              </w:rPr>
              <w:t xml:space="preserve">   </w:t>
            </w:r>
            <w:r w:rsidRPr="004A0BEC">
              <w:rPr>
                <w:rFonts w:ascii="宋体" w:eastAsia="宋体" w:hAnsi="宋体" w:cs="宋体" w:hint="eastAsia"/>
                <w:kern w:val="0"/>
                <w:szCs w:val="21"/>
              </w:rPr>
              <w:t>非金融企业及机关团体贷款</w:t>
            </w:r>
          </w:p>
        </w:tc>
        <w:tc>
          <w:tcPr>
            <w:tcW w:w="1205" w:type="dxa"/>
            <w:tcBorders>
              <w:top w:val="nil"/>
              <w:left w:val="nil"/>
              <w:bottom w:val="single" w:sz="8" w:space="0" w:color="auto"/>
              <w:right w:val="single" w:sz="8" w:space="0" w:color="auto"/>
            </w:tcBorders>
            <w:shd w:val="clear" w:color="auto" w:fill="auto"/>
            <w:vAlign w:val="bottom"/>
            <w:hideMark/>
          </w:tcPr>
          <w:p w:rsidR="004A0BEC" w:rsidRPr="004A0BEC" w:rsidRDefault="004A0BEC" w:rsidP="004A0BEC">
            <w:pPr>
              <w:widowControl/>
              <w:jc w:val="center"/>
              <w:rPr>
                <w:rFonts w:ascii="宋体" w:eastAsia="宋体" w:hAnsi="宋体" w:cs="宋体"/>
                <w:kern w:val="0"/>
                <w:szCs w:val="21"/>
              </w:rPr>
            </w:pPr>
            <w:r w:rsidRPr="004A0BEC">
              <w:rPr>
                <w:rFonts w:ascii="宋体" w:eastAsia="宋体" w:hAnsi="宋体" w:cs="宋体" w:hint="eastAsia"/>
                <w:kern w:val="0"/>
                <w:szCs w:val="21"/>
              </w:rPr>
              <w:t>1253.88</w:t>
            </w:r>
          </w:p>
        </w:tc>
        <w:tc>
          <w:tcPr>
            <w:tcW w:w="1495" w:type="dxa"/>
            <w:tcBorders>
              <w:top w:val="nil"/>
              <w:left w:val="nil"/>
              <w:bottom w:val="single" w:sz="8" w:space="0" w:color="auto"/>
              <w:right w:val="nil"/>
            </w:tcBorders>
            <w:shd w:val="clear" w:color="auto" w:fill="auto"/>
            <w:vAlign w:val="bottom"/>
            <w:hideMark/>
          </w:tcPr>
          <w:p w:rsidR="004A0BEC" w:rsidRPr="004A0BEC" w:rsidRDefault="004A0BEC" w:rsidP="004A0BEC">
            <w:pPr>
              <w:widowControl/>
              <w:jc w:val="center"/>
              <w:rPr>
                <w:rFonts w:ascii="宋体" w:eastAsia="宋体" w:hAnsi="宋体" w:cs="宋体"/>
                <w:kern w:val="0"/>
                <w:szCs w:val="21"/>
              </w:rPr>
            </w:pPr>
            <w:r w:rsidRPr="004A0BEC">
              <w:rPr>
                <w:rFonts w:ascii="宋体" w:eastAsia="宋体" w:hAnsi="宋体" w:cs="宋体" w:hint="eastAsia"/>
                <w:kern w:val="0"/>
                <w:szCs w:val="21"/>
              </w:rPr>
              <w:t>126.17</w:t>
            </w:r>
          </w:p>
        </w:tc>
        <w:tc>
          <w:tcPr>
            <w:tcW w:w="1701" w:type="dxa"/>
            <w:tcBorders>
              <w:top w:val="nil"/>
              <w:left w:val="single" w:sz="4" w:space="0" w:color="auto"/>
              <w:bottom w:val="single" w:sz="8" w:space="0" w:color="auto"/>
              <w:right w:val="nil"/>
            </w:tcBorders>
            <w:shd w:val="clear" w:color="auto" w:fill="auto"/>
            <w:vAlign w:val="bottom"/>
            <w:hideMark/>
          </w:tcPr>
          <w:p w:rsidR="004A0BEC" w:rsidRPr="004A0BEC" w:rsidRDefault="004A0BEC" w:rsidP="004A0BEC">
            <w:pPr>
              <w:widowControl/>
              <w:jc w:val="center"/>
              <w:rPr>
                <w:rFonts w:ascii="宋体" w:eastAsia="宋体" w:hAnsi="宋体" w:cs="宋体"/>
                <w:color w:val="000000"/>
                <w:kern w:val="0"/>
                <w:szCs w:val="21"/>
              </w:rPr>
            </w:pPr>
            <w:r w:rsidRPr="004A0BEC">
              <w:rPr>
                <w:rFonts w:ascii="宋体" w:eastAsia="宋体" w:hAnsi="宋体" w:cs="宋体" w:hint="eastAsia"/>
                <w:color w:val="000000"/>
                <w:kern w:val="0"/>
                <w:szCs w:val="21"/>
              </w:rPr>
              <w:t>11.2</w:t>
            </w:r>
          </w:p>
        </w:tc>
      </w:tr>
    </w:tbl>
    <w:p w:rsidR="00B74B05" w:rsidRPr="004A0BEC" w:rsidRDefault="00B74B05" w:rsidP="009262F8">
      <w:pPr>
        <w:widowControl/>
        <w:shd w:val="clear" w:color="auto" w:fill="FFFFFF"/>
        <w:spacing w:before="100" w:beforeAutospacing="1" w:after="100" w:afterAutospacing="1" w:line="560" w:lineRule="exact"/>
        <w:ind w:firstLineChars="200" w:firstLine="640"/>
        <w:rPr>
          <w:rFonts w:ascii="仿宋_GB2312" w:eastAsia="仿宋_GB2312" w:hAnsi="仿宋"/>
          <w:sz w:val="32"/>
          <w:szCs w:val="32"/>
        </w:rPr>
      </w:pPr>
      <w:r w:rsidRPr="00B74B05">
        <w:rPr>
          <w:rFonts w:ascii="楷体_GB2312" w:eastAsia="楷体_GB2312" w:hAnsi="宋体" w:cs="宋体" w:hint="eastAsia"/>
          <w:color w:val="000000"/>
          <w:kern w:val="0"/>
          <w:sz w:val="32"/>
          <w:szCs w:val="32"/>
        </w:rPr>
        <w:t>保险市场</w:t>
      </w:r>
      <w:r w:rsidR="00D549E0">
        <w:rPr>
          <w:rFonts w:ascii="楷体_GB2312" w:eastAsia="楷体_GB2312" w:hAnsi="宋体" w:cs="宋体" w:hint="eastAsia"/>
          <w:color w:val="000000"/>
          <w:kern w:val="0"/>
          <w:sz w:val="32"/>
          <w:szCs w:val="32"/>
        </w:rPr>
        <w:t>快速发展</w:t>
      </w:r>
      <w:r w:rsidRPr="00B74B05">
        <w:rPr>
          <w:rFonts w:ascii="楷体_GB2312" w:eastAsia="楷体_GB2312" w:hAnsi="宋体" w:cs="宋体" w:hint="eastAsia"/>
          <w:color w:val="000000"/>
          <w:kern w:val="0"/>
          <w:sz w:val="32"/>
          <w:szCs w:val="32"/>
        </w:rPr>
        <w:t>。</w:t>
      </w:r>
      <w:r w:rsidR="00D549E0" w:rsidRPr="004A0BEC">
        <w:rPr>
          <w:rFonts w:ascii="仿宋_GB2312" w:eastAsia="仿宋_GB2312" w:hAnsi="仿宋" w:hint="eastAsia"/>
          <w:sz w:val="32"/>
          <w:szCs w:val="32"/>
        </w:rPr>
        <w:t>全</w:t>
      </w:r>
      <w:r w:rsidRPr="004A0BEC">
        <w:rPr>
          <w:rFonts w:ascii="仿宋_GB2312" w:eastAsia="仿宋_GB2312" w:hAnsi="仿宋" w:hint="eastAsia"/>
          <w:sz w:val="32"/>
          <w:szCs w:val="32"/>
        </w:rPr>
        <w:t>年保险</w:t>
      </w:r>
      <w:r w:rsidR="00D549E0" w:rsidRPr="004A0BEC">
        <w:rPr>
          <w:rFonts w:ascii="仿宋_GB2312" w:eastAsia="仿宋_GB2312" w:hAnsi="仿宋" w:hint="eastAsia"/>
          <w:sz w:val="32"/>
          <w:szCs w:val="32"/>
        </w:rPr>
        <w:t>业务</w:t>
      </w:r>
      <w:r w:rsidRPr="004A0BEC">
        <w:rPr>
          <w:rFonts w:ascii="仿宋_GB2312" w:eastAsia="仿宋_GB2312" w:hAnsi="仿宋" w:hint="eastAsia"/>
          <w:sz w:val="32"/>
          <w:szCs w:val="32"/>
        </w:rPr>
        <w:t>总收入</w:t>
      </w:r>
      <w:r w:rsidRPr="004A0BEC">
        <w:rPr>
          <w:rFonts w:ascii="仿宋_GB2312" w:eastAsia="仿宋_GB2312" w:hAnsi="仿宋"/>
          <w:sz w:val="32"/>
          <w:szCs w:val="32"/>
        </w:rPr>
        <w:t>6</w:t>
      </w:r>
      <w:r w:rsidR="00D549E0" w:rsidRPr="004A0BEC">
        <w:rPr>
          <w:rFonts w:ascii="仿宋_GB2312" w:eastAsia="仿宋_GB2312" w:hAnsi="仿宋" w:hint="eastAsia"/>
          <w:sz w:val="32"/>
          <w:szCs w:val="32"/>
        </w:rPr>
        <w:t>9.78</w:t>
      </w:r>
      <w:r w:rsidRPr="004A0BEC">
        <w:rPr>
          <w:rFonts w:ascii="仿宋_GB2312" w:eastAsia="仿宋_GB2312" w:hAnsi="仿宋" w:hint="eastAsia"/>
          <w:sz w:val="32"/>
          <w:szCs w:val="32"/>
        </w:rPr>
        <w:t>亿元，增长</w:t>
      </w:r>
      <w:r w:rsidRPr="004A0BEC">
        <w:rPr>
          <w:rFonts w:ascii="仿宋_GB2312" w:eastAsia="仿宋_GB2312" w:hAnsi="仿宋"/>
          <w:sz w:val="32"/>
          <w:szCs w:val="32"/>
        </w:rPr>
        <w:t>2</w:t>
      </w:r>
      <w:r w:rsidR="00D549E0" w:rsidRPr="004A0BEC">
        <w:rPr>
          <w:rFonts w:ascii="仿宋_GB2312" w:eastAsia="仿宋_GB2312" w:hAnsi="仿宋" w:hint="eastAsia"/>
          <w:sz w:val="32"/>
          <w:szCs w:val="32"/>
        </w:rPr>
        <w:t>0.8</w:t>
      </w:r>
      <w:r w:rsidRPr="004A0BEC">
        <w:rPr>
          <w:rFonts w:ascii="仿宋_GB2312" w:eastAsia="仿宋_GB2312" w:hAnsi="仿宋"/>
          <w:sz w:val="32"/>
          <w:szCs w:val="32"/>
        </w:rPr>
        <w:t>%</w:t>
      </w:r>
      <w:r w:rsidRPr="004A0BEC">
        <w:rPr>
          <w:rFonts w:ascii="仿宋_GB2312" w:eastAsia="仿宋_GB2312" w:hAnsi="仿宋" w:hint="eastAsia"/>
          <w:sz w:val="32"/>
          <w:szCs w:val="32"/>
        </w:rPr>
        <w:t>。其中</w:t>
      </w:r>
      <w:r w:rsidR="00D549E0" w:rsidRPr="004A0BEC">
        <w:rPr>
          <w:rFonts w:ascii="仿宋_GB2312" w:eastAsia="仿宋_GB2312" w:hAnsi="仿宋" w:hint="eastAsia"/>
          <w:sz w:val="32"/>
          <w:szCs w:val="32"/>
        </w:rPr>
        <w:t>，</w:t>
      </w:r>
      <w:r w:rsidRPr="004A0BEC">
        <w:rPr>
          <w:rFonts w:ascii="仿宋_GB2312" w:eastAsia="仿宋_GB2312" w:hAnsi="仿宋" w:hint="eastAsia"/>
          <w:sz w:val="32"/>
          <w:szCs w:val="32"/>
        </w:rPr>
        <w:t>寿险保费收入</w:t>
      </w:r>
      <w:r w:rsidR="00D549E0" w:rsidRPr="004A0BEC">
        <w:rPr>
          <w:rFonts w:ascii="仿宋_GB2312" w:eastAsia="仿宋_GB2312" w:hAnsi="仿宋" w:hint="eastAsia"/>
          <w:sz w:val="32"/>
          <w:szCs w:val="32"/>
        </w:rPr>
        <w:t>41.58</w:t>
      </w:r>
      <w:r w:rsidRPr="004A0BEC">
        <w:rPr>
          <w:rFonts w:ascii="仿宋_GB2312" w:eastAsia="仿宋_GB2312" w:hAnsi="仿宋" w:hint="eastAsia"/>
          <w:sz w:val="32"/>
          <w:szCs w:val="32"/>
        </w:rPr>
        <w:t>亿元，增长</w:t>
      </w:r>
      <w:r w:rsidR="00D549E0" w:rsidRPr="004A0BEC">
        <w:rPr>
          <w:rFonts w:ascii="仿宋_GB2312" w:eastAsia="仿宋_GB2312" w:hAnsi="仿宋" w:hint="eastAsia"/>
          <w:sz w:val="32"/>
          <w:szCs w:val="32"/>
        </w:rPr>
        <w:t>22.3</w:t>
      </w:r>
      <w:r w:rsidRPr="004A0BEC">
        <w:rPr>
          <w:rFonts w:ascii="仿宋_GB2312" w:eastAsia="仿宋_GB2312" w:hAnsi="仿宋"/>
          <w:sz w:val="32"/>
          <w:szCs w:val="32"/>
        </w:rPr>
        <w:t>%</w:t>
      </w:r>
      <w:r w:rsidRPr="004A0BEC">
        <w:rPr>
          <w:rFonts w:ascii="仿宋_GB2312" w:eastAsia="仿宋_GB2312" w:hAnsi="仿宋" w:hint="eastAsia"/>
          <w:sz w:val="32"/>
          <w:szCs w:val="32"/>
        </w:rPr>
        <w:t>；财产</w:t>
      </w:r>
      <w:r w:rsidR="00D549E0" w:rsidRPr="004A0BEC">
        <w:rPr>
          <w:rFonts w:ascii="仿宋_GB2312" w:eastAsia="仿宋_GB2312" w:hAnsi="仿宋" w:hint="eastAsia"/>
          <w:sz w:val="32"/>
          <w:szCs w:val="32"/>
        </w:rPr>
        <w:t>险</w:t>
      </w:r>
      <w:r w:rsidRPr="004A0BEC">
        <w:rPr>
          <w:rFonts w:ascii="仿宋_GB2312" w:eastAsia="仿宋_GB2312" w:hAnsi="仿宋" w:hint="eastAsia"/>
          <w:sz w:val="32"/>
          <w:szCs w:val="32"/>
        </w:rPr>
        <w:t>保费收入</w:t>
      </w:r>
      <w:r w:rsidR="00D549E0" w:rsidRPr="004A0BEC">
        <w:rPr>
          <w:rFonts w:ascii="仿宋_GB2312" w:eastAsia="仿宋_GB2312" w:hAnsi="仿宋" w:hint="eastAsia"/>
          <w:sz w:val="32"/>
          <w:szCs w:val="32"/>
        </w:rPr>
        <w:t>20.97</w:t>
      </w:r>
      <w:r w:rsidRPr="004A0BEC">
        <w:rPr>
          <w:rFonts w:ascii="仿宋_GB2312" w:eastAsia="仿宋_GB2312" w:hAnsi="仿宋" w:hint="eastAsia"/>
          <w:sz w:val="32"/>
          <w:szCs w:val="32"/>
        </w:rPr>
        <w:t>亿元，增长</w:t>
      </w:r>
      <w:r w:rsidRPr="004A0BEC">
        <w:rPr>
          <w:rFonts w:ascii="仿宋_GB2312" w:eastAsia="仿宋_GB2312" w:hAnsi="仿宋"/>
          <w:sz w:val="32"/>
          <w:szCs w:val="32"/>
        </w:rPr>
        <w:t>1</w:t>
      </w:r>
      <w:r w:rsidR="00D549E0" w:rsidRPr="004A0BEC">
        <w:rPr>
          <w:rFonts w:ascii="仿宋_GB2312" w:eastAsia="仿宋_GB2312" w:hAnsi="仿宋" w:hint="eastAsia"/>
          <w:sz w:val="32"/>
          <w:szCs w:val="32"/>
        </w:rPr>
        <w:t>7.0</w:t>
      </w:r>
      <w:r w:rsidRPr="004A0BEC">
        <w:rPr>
          <w:rFonts w:ascii="仿宋_GB2312" w:eastAsia="仿宋_GB2312" w:hAnsi="仿宋"/>
          <w:sz w:val="32"/>
          <w:szCs w:val="32"/>
        </w:rPr>
        <w:t>%</w:t>
      </w:r>
      <w:r w:rsidR="00D549E0" w:rsidRPr="004A0BEC">
        <w:rPr>
          <w:rFonts w:ascii="仿宋_GB2312" w:eastAsia="仿宋_GB2312" w:hAnsi="仿宋" w:hint="eastAsia"/>
          <w:sz w:val="32"/>
          <w:szCs w:val="32"/>
        </w:rPr>
        <w:t>；</w:t>
      </w:r>
      <w:r w:rsidRPr="004A0BEC">
        <w:rPr>
          <w:rFonts w:ascii="仿宋_GB2312" w:eastAsia="仿宋_GB2312" w:hAnsi="仿宋" w:hint="eastAsia"/>
          <w:sz w:val="32"/>
          <w:szCs w:val="32"/>
        </w:rPr>
        <w:t>健康险保费收入</w:t>
      </w:r>
      <w:r w:rsidR="00D549E0" w:rsidRPr="004A0BEC">
        <w:rPr>
          <w:rFonts w:ascii="仿宋_GB2312" w:eastAsia="仿宋_GB2312" w:hAnsi="仿宋" w:hint="eastAsia"/>
          <w:sz w:val="32"/>
          <w:szCs w:val="32"/>
        </w:rPr>
        <w:t>5.87亿元，</w:t>
      </w:r>
      <w:r w:rsidRPr="004A0BEC">
        <w:rPr>
          <w:rFonts w:ascii="仿宋_GB2312" w:eastAsia="仿宋_GB2312" w:hAnsi="仿宋" w:hint="eastAsia"/>
          <w:sz w:val="32"/>
          <w:szCs w:val="32"/>
        </w:rPr>
        <w:t>增长</w:t>
      </w:r>
      <w:r w:rsidRPr="004A0BEC">
        <w:rPr>
          <w:rFonts w:ascii="仿宋_GB2312" w:eastAsia="仿宋_GB2312" w:hAnsi="仿宋"/>
          <w:sz w:val="32"/>
          <w:szCs w:val="32"/>
        </w:rPr>
        <w:t>2</w:t>
      </w:r>
      <w:r w:rsidR="00D549E0" w:rsidRPr="004A0BEC">
        <w:rPr>
          <w:rFonts w:ascii="仿宋_GB2312" w:eastAsia="仿宋_GB2312" w:hAnsi="仿宋" w:hint="eastAsia"/>
          <w:sz w:val="32"/>
          <w:szCs w:val="32"/>
        </w:rPr>
        <w:t>6.9</w:t>
      </w:r>
      <w:r w:rsidRPr="004A0BEC">
        <w:rPr>
          <w:rFonts w:ascii="仿宋_GB2312" w:eastAsia="仿宋_GB2312" w:hAnsi="仿宋"/>
          <w:sz w:val="32"/>
          <w:szCs w:val="32"/>
        </w:rPr>
        <w:t>%</w:t>
      </w:r>
      <w:r w:rsidR="00D549E0" w:rsidRPr="004A0BEC">
        <w:rPr>
          <w:rFonts w:ascii="仿宋_GB2312" w:eastAsia="仿宋_GB2312" w:hAnsi="仿宋" w:hint="eastAsia"/>
          <w:sz w:val="32"/>
          <w:szCs w:val="32"/>
        </w:rPr>
        <w:t>；</w:t>
      </w:r>
      <w:r w:rsidRPr="004A0BEC">
        <w:rPr>
          <w:rFonts w:ascii="仿宋_GB2312" w:eastAsia="仿宋_GB2312" w:hAnsi="仿宋" w:hint="eastAsia"/>
          <w:sz w:val="32"/>
          <w:szCs w:val="32"/>
        </w:rPr>
        <w:t>意外险保费收入</w:t>
      </w:r>
      <w:r w:rsidR="00D549E0" w:rsidRPr="004A0BEC">
        <w:rPr>
          <w:rFonts w:ascii="仿宋_GB2312" w:eastAsia="仿宋_GB2312" w:hAnsi="仿宋" w:hint="eastAsia"/>
          <w:sz w:val="32"/>
          <w:szCs w:val="32"/>
        </w:rPr>
        <w:t>1.36亿元，</w:t>
      </w:r>
      <w:r w:rsidRPr="004A0BEC">
        <w:rPr>
          <w:rFonts w:ascii="仿宋_GB2312" w:eastAsia="仿宋_GB2312" w:hAnsi="仿宋" w:hint="eastAsia"/>
          <w:sz w:val="32"/>
          <w:szCs w:val="32"/>
        </w:rPr>
        <w:t>增长</w:t>
      </w:r>
      <w:r w:rsidR="00D549E0" w:rsidRPr="004A0BEC">
        <w:rPr>
          <w:rFonts w:ascii="仿宋_GB2312" w:eastAsia="仿宋_GB2312" w:hAnsi="仿宋" w:hint="eastAsia"/>
          <w:sz w:val="32"/>
          <w:szCs w:val="32"/>
        </w:rPr>
        <w:t>12</w:t>
      </w:r>
      <w:r w:rsidRPr="004A0BEC">
        <w:rPr>
          <w:rFonts w:ascii="仿宋_GB2312" w:eastAsia="仿宋_GB2312" w:hAnsi="仿宋"/>
          <w:sz w:val="32"/>
          <w:szCs w:val="32"/>
        </w:rPr>
        <w:t>.8%</w:t>
      </w:r>
      <w:r w:rsidRPr="004A0BEC">
        <w:rPr>
          <w:rFonts w:ascii="仿宋_GB2312" w:eastAsia="仿宋_GB2312" w:hAnsi="仿宋" w:hint="eastAsia"/>
          <w:sz w:val="32"/>
          <w:szCs w:val="32"/>
        </w:rPr>
        <w:t>。保险</w:t>
      </w:r>
      <w:r w:rsidR="00D549E0" w:rsidRPr="004A0BEC">
        <w:rPr>
          <w:rFonts w:ascii="仿宋_GB2312" w:eastAsia="仿宋_GB2312" w:hAnsi="仿宋" w:hint="eastAsia"/>
          <w:sz w:val="32"/>
          <w:szCs w:val="32"/>
        </w:rPr>
        <w:t>业务总</w:t>
      </w:r>
      <w:r w:rsidRPr="004A0BEC">
        <w:rPr>
          <w:rFonts w:ascii="仿宋_GB2312" w:eastAsia="仿宋_GB2312" w:hAnsi="仿宋" w:hint="eastAsia"/>
          <w:sz w:val="32"/>
          <w:szCs w:val="32"/>
        </w:rPr>
        <w:t>支出</w:t>
      </w:r>
      <w:r w:rsidR="00D549E0" w:rsidRPr="004A0BEC">
        <w:rPr>
          <w:rFonts w:ascii="仿宋_GB2312" w:eastAsia="仿宋_GB2312" w:hAnsi="仿宋" w:hint="eastAsia"/>
          <w:sz w:val="32"/>
          <w:szCs w:val="32"/>
        </w:rPr>
        <w:t>23.20</w:t>
      </w:r>
      <w:r w:rsidRPr="004A0BEC">
        <w:rPr>
          <w:rFonts w:ascii="仿宋_GB2312" w:eastAsia="仿宋_GB2312" w:hAnsi="仿宋" w:hint="eastAsia"/>
          <w:sz w:val="32"/>
          <w:szCs w:val="32"/>
        </w:rPr>
        <w:t>亿元，增长</w:t>
      </w:r>
      <w:r w:rsidR="00D549E0" w:rsidRPr="004A0BEC">
        <w:rPr>
          <w:rFonts w:ascii="仿宋_GB2312" w:eastAsia="仿宋_GB2312" w:hAnsi="仿宋" w:hint="eastAsia"/>
          <w:sz w:val="32"/>
          <w:szCs w:val="32"/>
        </w:rPr>
        <w:t>31</w:t>
      </w:r>
      <w:r w:rsidRPr="004A0BEC">
        <w:rPr>
          <w:rFonts w:ascii="仿宋_GB2312" w:eastAsia="仿宋_GB2312" w:hAnsi="仿宋"/>
          <w:sz w:val="32"/>
          <w:szCs w:val="32"/>
        </w:rPr>
        <w:t>.1%</w:t>
      </w:r>
      <w:r w:rsidRPr="004A0BEC">
        <w:rPr>
          <w:rFonts w:ascii="仿宋_GB2312" w:eastAsia="仿宋_GB2312" w:hAnsi="仿宋" w:hint="eastAsia"/>
          <w:sz w:val="32"/>
          <w:szCs w:val="32"/>
        </w:rPr>
        <w:t>。</w:t>
      </w:r>
    </w:p>
    <w:p w:rsidR="00B74B05" w:rsidRPr="00B74B05" w:rsidRDefault="00B74B05" w:rsidP="009262F8">
      <w:pPr>
        <w:widowControl/>
        <w:shd w:val="clear" w:color="auto" w:fill="FFFFFF"/>
        <w:spacing w:before="100" w:beforeAutospacing="1" w:after="100" w:afterAutospacing="1" w:line="560" w:lineRule="exact"/>
        <w:ind w:firstLineChars="200" w:firstLine="640"/>
        <w:rPr>
          <w:rFonts w:ascii="宋体" w:eastAsia="宋体" w:hAnsi="宋体" w:cs="宋体"/>
          <w:color w:val="353535"/>
          <w:kern w:val="0"/>
          <w:sz w:val="24"/>
          <w:szCs w:val="24"/>
        </w:rPr>
      </w:pPr>
      <w:r w:rsidRPr="00B74B05">
        <w:rPr>
          <w:rFonts w:ascii="Times New Roman" w:eastAsia="黑体" w:hAnsi="黑体" w:cs="宋体" w:hint="eastAsia"/>
          <w:color w:val="000000"/>
          <w:kern w:val="0"/>
          <w:sz w:val="32"/>
          <w:szCs w:val="32"/>
        </w:rPr>
        <w:t>九、</w:t>
      </w:r>
      <w:r w:rsidR="00271276">
        <w:rPr>
          <w:rFonts w:ascii="Times New Roman" w:eastAsia="黑体" w:hAnsi="黑体" w:cs="宋体" w:hint="eastAsia"/>
          <w:color w:val="000000"/>
          <w:kern w:val="0"/>
          <w:sz w:val="32"/>
          <w:szCs w:val="32"/>
        </w:rPr>
        <w:t>科学技术和教育</w:t>
      </w:r>
    </w:p>
    <w:p w:rsidR="00B74B05" w:rsidRPr="004A0BEC" w:rsidRDefault="00E331EB" w:rsidP="009262F8">
      <w:pPr>
        <w:widowControl/>
        <w:shd w:val="clear" w:color="auto" w:fill="FFFFFF"/>
        <w:spacing w:before="100" w:beforeAutospacing="1" w:after="100" w:afterAutospacing="1" w:line="560" w:lineRule="exact"/>
        <w:ind w:firstLineChars="200" w:firstLine="640"/>
        <w:rPr>
          <w:rFonts w:ascii="仿宋_GB2312" w:eastAsia="仿宋_GB2312" w:hAnsi="仿宋"/>
          <w:sz w:val="32"/>
          <w:szCs w:val="32"/>
        </w:rPr>
      </w:pPr>
      <w:r w:rsidRPr="00E331EB">
        <w:rPr>
          <w:rFonts w:ascii="楷体_GB2312" w:eastAsia="楷体_GB2312" w:hAnsi="宋体" w:cs="宋体" w:hint="eastAsia"/>
          <w:color w:val="000000"/>
          <w:kern w:val="0"/>
          <w:sz w:val="32"/>
          <w:szCs w:val="32"/>
        </w:rPr>
        <w:t>创新载体建设力度加大。</w:t>
      </w:r>
      <w:r w:rsidRPr="004A0BEC">
        <w:rPr>
          <w:rFonts w:ascii="仿宋_GB2312" w:eastAsia="仿宋_GB2312" w:hAnsi="仿宋" w:hint="eastAsia"/>
          <w:sz w:val="32"/>
          <w:szCs w:val="32"/>
        </w:rPr>
        <w:t>全市不断加大创新载体建设力度，倾力打造发展新平台，加快建设</w:t>
      </w:r>
      <w:r w:rsidRPr="004A0BEC">
        <w:rPr>
          <w:rFonts w:ascii="仿宋_GB2312" w:eastAsia="仿宋_GB2312" w:hAnsi="仿宋"/>
          <w:sz w:val="32"/>
          <w:szCs w:val="32"/>
        </w:rPr>
        <w:t>区域创新高地</w:t>
      </w:r>
      <w:r w:rsidRPr="004A0BEC">
        <w:rPr>
          <w:rFonts w:ascii="仿宋_GB2312" w:eastAsia="仿宋_GB2312" w:hAnsi="仿宋" w:hint="eastAsia"/>
          <w:sz w:val="32"/>
          <w:szCs w:val="32"/>
        </w:rPr>
        <w:t>。国家高新区、国家级农业科技园区快速推进，装备制造、高性能纤维及复合材料、硅材料、新医药等4个国家级特色产业基地加快建设，13个省级以上科技企业孵化器、8个科技产业园</w:t>
      </w:r>
      <w:r w:rsidRPr="004A0BEC">
        <w:rPr>
          <w:rFonts w:ascii="仿宋_GB2312" w:eastAsia="仿宋_GB2312" w:hAnsi="仿宋" w:hint="eastAsia"/>
          <w:sz w:val="32"/>
          <w:szCs w:val="32"/>
        </w:rPr>
        <w:lastRenderedPageBreak/>
        <w:t>投入运营。</w:t>
      </w:r>
      <w:r w:rsidRPr="004A0BEC">
        <w:rPr>
          <w:rFonts w:ascii="仿宋_GB2312" w:eastAsia="仿宋_GB2312" w:hAnsi="仿宋"/>
          <w:sz w:val="32"/>
          <w:szCs w:val="32"/>
        </w:rPr>
        <w:t>恒瑞、豪森、康缘、正大天晴四大药企入选中国医药工业企业50强、研发企业20强</w:t>
      </w:r>
      <w:r w:rsidRPr="004A0BEC">
        <w:rPr>
          <w:rFonts w:ascii="仿宋_GB2312" w:eastAsia="仿宋_GB2312" w:hAnsi="仿宋" w:hint="eastAsia"/>
          <w:sz w:val="32"/>
          <w:szCs w:val="32"/>
        </w:rPr>
        <w:t>。</w:t>
      </w:r>
    </w:p>
    <w:p w:rsidR="00E331EB" w:rsidRDefault="008651D9" w:rsidP="009262F8">
      <w:pPr>
        <w:widowControl/>
        <w:shd w:val="clear" w:color="auto" w:fill="FFFFFF"/>
        <w:spacing w:before="100" w:beforeAutospacing="1" w:after="100" w:afterAutospacing="1" w:line="560" w:lineRule="exact"/>
        <w:ind w:firstLineChars="200" w:firstLine="640"/>
        <w:rPr>
          <w:rFonts w:ascii="仿宋_GB2312" w:eastAsia="仿宋_GB2312"/>
          <w:color w:val="FF0000"/>
          <w:sz w:val="32"/>
          <w:szCs w:val="32"/>
        </w:rPr>
      </w:pPr>
      <w:r w:rsidRPr="00916E02">
        <w:rPr>
          <w:rFonts w:ascii="楷体_GB2312" w:eastAsia="楷体_GB2312" w:hAnsi="宋体" w:cs="宋体" w:hint="eastAsia"/>
          <w:color w:val="000000"/>
          <w:kern w:val="0"/>
          <w:sz w:val="32"/>
          <w:szCs w:val="32"/>
        </w:rPr>
        <w:t>高新产业规模扩大。</w:t>
      </w:r>
      <w:r w:rsidRPr="008651D9">
        <w:rPr>
          <w:rFonts w:ascii="仿宋_GB2312" w:eastAsia="仿宋_GB2312" w:hAnsi="Calibri" w:cs="Times New Roman"/>
          <w:sz w:val="32"/>
          <w:szCs w:val="32"/>
        </w:rPr>
        <w:t>全社会研发</w:t>
      </w:r>
      <w:r w:rsidRPr="008651D9">
        <w:rPr>
          <w:rFonts w:ascii="仿宋_GB2312" w:eastAsia="仿宋_GB2312" w:hAnsi="Calibri" w:cs="Times New Roman" w:hint="eastAsia"/>
          <w:sz w:val="32"/>
          <w:szCs w:val="32"/>
        </w:rPr>
        <w:t>投入</w:t>
      </w:r>
      <w:r w:rsidRPr="008651D9">
        <w:rPr>
          <w:rFonts w:ascii="仿宋_GB2312" w:eastAsia="仿宋_GB2312" w:hAnsi="Calibri" w:cs="Times New Roman"/>
          <w:sz w:val="32"/>
          <w:szCs w:val="32"/>
        </w:rPr>
        <w:t>占GDP比重提高到1.78%，科技进步贡献率提高到53%</w:t>
      </w:r>
      <w:r w:rsidRPr="008651D9">
        <w:rPr>
          <w:rFonts w:ascii="仿宋_GB2312" w:eastAsia="仿宋_GB2312" w:hAnsi="Calibri" w:cs="Times New Roman" w:hint="eastAsia"/>
          <w:sz w:val="32"/>
          <w:szCs w:val="32"/>
        </w:rPr>
        <w:t>。</w:t>
      </w:r>
      <w:r w:rsidRPr="008651D9">
        <w:rPr>
          <w:rFonts w:ascii="仿宋_GB2312" w:eastAsia="仿宋_GB2312" w:hAnsi="Calibri" w:cs="Times New Roman"/>
          <w:sz w:val="32"/>
          <w:szCs w:val="32"/>
        </w:rPr>
        <w:t>高新技术企业增至226家</w:t>
      </w:r>
      <w:r w:rsidRPr="008651D9">
        <w:rPr>
          <w:rFonts w:ascii="仿宋_GB2312" w:eastAsia="仿宋_GB2312" w:hAnsi="Calibri" w:cs="Times New Roman" w:hint="eastAsia"/>
          <w:sz w:val="32"/>
          <w:szCs w:val="32"/>
        </w:rPr>
        <w:t>，实现工业总产值2432.08亿元，增长12.0%，对全市工业生产增长</w:t>
      </w:r>
      <w:r>
        <w:rPr>
          <w:rFonts w:ascii="仿宋_GB2312" w:eastAsia="仿宋_GB2312" w:hint="eastAsia"/>
          <w:color w:val="000000"/>
          <w:sz w:val="32"/>
          <w:szCs w:val="32"/>
        </w:rPr>
        <w:t>的贡献率为38.5%，拉动全市生产增长4.7个百分点。</w:t>
      </w:r>
      <w:r>
        <w:rPr>
          <w:rFonts w:ascii="仿宋_GB2312" w:eastAsia="仿宋_GB2312" w:hAnsi="宋体" w:cs="宋体" w:hint="eastAsia"/>
          <w:color w:val="000000"/>
          <w:kern w:val="0"/>
          <w:sz w:val="32"/>
          <w:szCs w:val="32"/>
        </w:rPr>
        <w:t>其中，“三新”产业</w:t>
      </w:r>
      <w:r w:rsidRPr="00916E02">
        <w:rPr>
          <w:rFonts w:ascii="仿宋_GB2312" w:eastAsia="仿宋_GB2312" w:hAnsi="宋体" w:cs="宋体" w:hint="eastAsia"/>
          <w:color w:val="000000"/>
          <w:kern w:val="0"/>
          <w:sz w:val="32"/>
          <w:szCs w:val="32"/>
        </w:rPr>
        <w:t>实现</w:t>
      </w:r>
      <w:r>
        <w:rPr>
          <w:rFonts w:ascii="仿宋_GB2312" w:eastAsia="仿宋_GB2312" w:hAnsi="宋体" w:cs="宋体" w:hint="eastAsia"/>
          <w:color w:val="000000"/>
          <w:kern w:val="0"/>
          <w:sz w:val="32"/>
          <w:szCs w:val="32"/>
        </w:rPr>
        <w:t>总</w:t>
      </w:r>
      <w:r w:rsidRPr="00916E02">
        <w:rPr>
          <w:rFonts w:ascii="仿宋_GB2312" w:eastAsia="仿宋_GB2312" w:hAnsi="宋体" w:cs="宋体" w:hint="eastAsia"/>
          <w:color w:val="000000"/>
          <w:kern w:val="0"/>
          <w:sz w:val="32"/>
          <w:szCs w:val="32"/>
        </w:rPr>
        <w:t>产值2214.68亿元，新材料制造业、新能源制造业、生物医药制造业分别为1397.50亿元、241.78亿元、575.40亿元。</w:t>
      </w:r>
    </w:p>
    <w:p w:rsidR="00172F13" w:rsidRDefault="00E331EB" w:rsidP="009262F8">
      <w:pPr>
        <w:widowControl/>
        <w:shd w:val="clear" w:color="auto" w:fill="FFFFFF"/>
        <w:spacing w:before="100" w:beforeAutospacing="1" w:after="100" w:afterAutospacing="1" w:line="560" w:lineRule="exact"/>
        <w:ind w:firstLineChars="200" w:firstLine="640"/>
        <w:rPr>
          <w:rFonts w:ascii="仿宋_GB2312" w:eastAsia="仿宋_GB2312" w:hAnsi="Calibri" w:cs="Times New Roman"/>
          <w:sz w:val="32"/>
          <w:szCs w:val="32"/>
        </w:rPr>
      </w:pPr>
      <w:r w:rsidRPr="00E331EB">
        <w:rPr>
          <w:rFonts w:ascii="楷体_GB2312" w:eastAsia="楷体_GB2312" w:hAnsi="宋体" w:cs="宋体" w:hint="eastAsia"/>
          <w:color w:val="000000"/>
          <w:kern w:val="0"/>
          <w:sz w:val="32"/>
          <w:szCs w:val="32"/>
        </w:rPr>
        <w:t>着力实施教育强基工程。</w:t>
      </w:r>
      <w:r w:rsidRPr="001B0C82">
        <w:rPr>
          <w:rFonts w:ascii="仿宋_GB2312" w:eastAsia="仿宋_GB2312" w:hAnsi="Calibri" w:cs="Times New Roman" w:hint="eastAsia"/>
          <w:sz w:val="32"/>
          <w:szCs w:val="32"/>
        </w:rPr>
        <w:t>坚持育人为本，着力打造教育公共服务平台，形成学历教育和非学历教育协调发展、职业教育和普通教育相互沟通、职前教育和职后教育有效衔接的终身教育体系，教育事业实现了全面协调可持续发展。</w:t>
      </w:r>
      <w:r>
        <w:rPr>
          <w:rFonts w:ascii="仿宋_GB2312" w:eastAsia="仿宋_GB2312" w:hint="eastAsia"/>
          <w:sz w:val="32"/>
          <w:szCs w:val="32"/>
        </w:rPr>
        <w:t>全</w:t>
      </w:r>
      <w:r w:rsidRPr="001B0C82">
        <w:rPr>
          <w:rFonts w:ascii="仿宋_GB2312" w:eastAsia="仿宋_GB2312" w:hAnsi="Calibri" w:cs="Times New Roman" w:hint="eastAsia"/>
          <w:sz w:val="32"/>
          <w:szCs w:val="32"/>
        </w:rPr>
        <w:t>年全市</w:t>
      </w:r>
      <w:r w:rsidRPr="001B0C82">
        <w:rPr>
          <w:rFonts w:ascii="仿宋_GB2312" w:eastAsia="仿宋_GB2312" w:hAnsi="Calibri" w:cs="Times New Roman"/>
          <w:sz w:val="32"/>
          <w:szCs w:val="32"/>
        </w:rPr>
        <w:t>新建中小学</w:t>
      </w:r>
      <w:r w:rsidRPr="001B0C82">
        <w:rPr>
          <w:rFonts w:ascii="仿宋_GB2312" w:eastAsia="仿宋_GB2312" w:hAnsi="Calibri" w:cs="Times New Roman" w:hint="eastAsia"/>
          <w:sz w:val="32"/>
          <w:szCs w:val="32"/>
        </w:rPr>
        <w:t>2</w:t>
      </w:r>
      <w:r w:rsidRPr="001B0C82">
        <w:rPr>
          <w:rFonts w:ascii="仿宋_GB2312" w:eastAsia="仿宋_GB2312" w:hAnsi="Calibri" w:cs="Times New Roman"/>
          <w:sz w:val="32"/>
          <w:szCs w:val="32"/>
        </w:rPr>
        <w:t>所，改造中小学校舍31.4万平方米</w:t>
      </w:r>
      <w:r w:rsidRPr="001B0C82">
        <w:rPr>
          <w:rFonts w:ascii="仿宋_GB2312" w:eastAsia="仿宋_GB2312" w:hAnsi="Calibri" w:cs="Times New Roman" w:hint="eastAsia"/>
          <w:sz w:val="32"/>
          <w:szCs w:val="32"/>
        </w:rPr>
        <w:t>，</w:t>
      </w:r>
      <w:r w:rsidRPr="001B0C82">
        <w:rPr>
          <w:rFonts w:ascii="仿宋_GB2312" w:eastAsia="仿宋_GB2312" w:hAnsi="Calibri" w:cs="Times New Roman"/>
          <w:sz w:val="32"/>
          <w:szCs w:val="32"/>
        </w:rPr>
        <w:t>安排进城务工人员子女入学3978人。在苏北率先实现教育</w:t>
      </w:r>
      <w:r w:rsidRPr="001B0C82">
        <w:rPr>
          <w:rFonts w:ascii="仿宋_GB2312" w:eastAsia="仿宋_GB2312" w:hAnsi="Calibri" w:cs="Times New Roman" w:hint="eastAsia"/>
          <w:sz w:val="32"/>
          <w:szCs w:val="32"/>
        </w:rPr>
        <w:t>基本</w:t>
      </w:r>
      <w:r w:rsidRPr="001B0C82">
        <w:rPr>
          <w:rFonts w:ascii="仿宋_GB2312" w:eastAsia="仿宋_GB2312" w:hAnsi="Calibri" w:cs="Times New Roman"/>
          <w:sz w:val="32"/>
          <w:szCs w:val="32"/>
        </w:rPr>
        <w:t>现代化</w:t>
      </w:r>
      <w:r w:rsidRPr="001B0C82">
        <w:rPr>
          <w:rFonts w:ascii="仿宋_GB2312" w:eastAsia="仿宋_GB2312" w:hAnsi="Calibri" w:cs="Times New Roman" w:hint="eastAsia"/>
          <w:sz w:val="32"/>
          <w:szCs w:val="32"/>
        </w:rPr>
        <w:t>，教育强市步伐不断加快。</w:t>
      </w:r>
    </w:p>
    <w:p w:rsidR="00172F13" w:rsidRDefault="00E331EB" w:rsidP="009262F8">
      <w:pPr>
        <w:widowControl/>
        <w:shd w:val="clear" w:color="auto" w:fill="FFFFFF"/>
        <w:spacing w:before="100" w:beforeAutospacing="1" w:after="100" w:afterAutospacing="1" w:line="560" w:lineRule="exact"/>
        <w:ind w:firstLineChars="200" w:firstLine="640"/>
        <w:rPr>
          <w:rFonts w:ascii="仿宋_GB2312" w:eastAsia="仿宋_GB2312"/>
          <w:sz w:val="32"/>
          <w:szCs w:val="32"/>
        </w:rPr>
      </w:pPr>
      <w:r w:rsidRPr="00E331EB">
        <w:rPr>
          <w:rFonts w:ascii="楷体_GB2312" w:eastAsia="楷体_GB2312" w:hAnsi="宋体" w:cs="宋体" w:hint="eastAsia"/>
          <w:color w:val="000000"/>
          <w:kern w:val="0"/>
          <w:sz w:val="32"/>
          <w:szCs w:val="32"/>
        </w:rPr>
        <w:t>教育教学质量稳步提升。</w:t>
      </w:r>
      <w:r w:rsidRPr="00E36C85">
        <w:rPr>
          <w:rFonts w:ascii="仿宋_GB2312" w:eastAsia="仿宋_GB2312" w:hint="eastAsia"/>
          <w:sz w:val="32"/>
          <w:szCs w:val="32"/>
        </w:rPr>
        <w:t>全市所有县区全部通过义务教育发展基本均衡县（区）国家级督导认定</w:t>
      </w:r>
      <w:r>
        <w:rPr>
          <w:rFonts w:ascii="仿宋_GB2312" w:eastAsia="仿宋_GB2312" w:hint="eastAsia"/>
          <w:sz w:val="32"/>
          <w:szCs w:val="32"/>
        </w:rPr>
        <w:t>，</w:t>
      </w:r>
      <w:r w:rsidRPr="00E36C85">
        <w:rPr>
          <w:rFonts w:ascii="仿宋_GB2312" w:eastAsia="仿宋_GB2312" w:hint="eastAsia"/>
          <w:sz w:val="32"/>
          <w:szCs w:val="32"/>
        </w:rPr>
        <w:t>新海实验中学代表队获得“中国汉字听写大会”全国总冠军。</w:t>
      </w:r>
      <w:r w:rsidRPr="006416E1">
        <w:rPr>
          <w:rFonts w:ascii="仿宋_GB2312" w:eastAsia="仿宋_GB2312" w:hint="eastAsia"/>
          <w:sz w:val="32"/>
          <w:szCs w:val="32"/>
        </w:rPr>
        <w:t>九年义务教育巩固率99.9%，比上年提高了0.2个百分点；高中阶段教育毛入学率达到97.4%，比上年提高0.2个百分点。</w:t>
      </w:r>
    </w:p>
    <w:p w:rsidR="00DA03CD" w:rsidRDefault="00B74B05" w:rsidP="009262F8">
      <w:pPr>
        <w:widowControl/>
        <w:shd w:val="clear" w:color="auto" w:fill="FFFFFF"/>
        <w:spacing w:before="100" w:beforeAutospacing="1" w:after="100" w:afterAutospacing="1" w:line="560" w:lineRule="exact"/>
        <w:ind w:firstLineChars="200" w:firstLine="640"/>
        <w:rPr>
          <w:rFonts w:ascii="Times New Roman" w:eastAsia="黑体" w:hAnsi="黑体" w:cs="宋体"/>
          <w:color w:val="000000"/>
          <w:kern w:val="0"/>
          <w:sz w:val="32"/>
          <w:szCs w:val="32"/>
        </w:rPr>
      </w:pPr>
      <w:r w:rsidRPr="00B74B05">
        <w:rPr>
          <w:rFonts w:ascii="Times New Roman" w:eastAsia="黑体" w:hAnsi="黑体" w:cs="宋体" w:hint="eastAsia"/>
          <w:color w:val="000000"/>
          <w:kern w:val="0"/>
          <w:sz w:val="32"/>
          <w:szCs w:val="32"/>
        </w:rPr>
        <w:t>十、</w:t>
      </w:r>
      <w:r w:rsidR="00271276">
        <w:rPr>
          <w:rFonts w:ascii="Times New Roman" w:eastAsia="黑体" w:hAnsi="黑体" w:cs="宋体" w:hint="eastAsia"/>
          <w:color w:val="000000"/>
          <w:kern w:val="0"/>
          <w:sz w:val="32"/>
          <w:szCs w:val="32"/>
        </w:rPr>
        <w:t>文化、</w:t>
      </w:r>
      <w:r w:rsidRPr="00B74B05">
        <w:rPr>
          <w:rFonts w:ascii="Times New Roman" w:eastAsia="黑体" w:hAnsi="黑体" w:cs="宋体" w:hint="eastAsia"/>
          <w:color w:val="000000"/>
          <w:kern w:val="0"/>
          <w:sz w:val="32"/>
          <w:szCs w:val="32"/>
        </w:rPr>
        <w:t>卫生和</w:t>
      </w:r>
      <w:r w:rsidR="00271276">
        <w:rPr>
          <w:rFonts w:ascii="Times New Roman" w:eastAsia="黑体" w:hAnsi="黑体" w:cs="宋体" w:hint="eastAsia"/>
          <w:color w:val="000000"/>
          <w:kern w:val="0"/>
          <w:sz w:val="32"/>
          <w:szCs w:val="32"/>
        </w:rPr>
        <w:t>体育</w:t>
      </w:r>
    </w:p>
    <w:p w:rsidR="00826B9A" w:rsidRDefault="00C63909" w:rsidP="009262F8">
      <w:pPr>
        <w:widowControl/>
        <w:shd w:val="clear" w:color="auto" w:fill="FFFFFF"/>
        <w:spacing w:before="100" w:beforeAutospacing="1" w:after="100" w:afterAutospacing="1" w:line="560" w:lineRule="exact"/>
        <w:ind w:firstLineChars="200" w:firstLine="640"/>
        <w:rPr>
          <w:rFonts w:ascii="仿宋_GB2312" w:eastAsia="仿宋_GB2312"/>
          <w:sz w:val="32"/>
          <w:szCs w:val="32"/>
        </w:rPr>
      </w:pPr>
      <w:r w:rsidRPr="00B30D5C">
        <w:rPr>
          <w:rFonts w:ascii="楷体_GB2312" w:eastAsia="楷体_GB2312" w:hAnsi="宋体" w:cs="宋体" w:hint="eastAsia"/>
          <w:color w:val="000000"/>
          <w:kern w:val="0"/>
          <w:sz w:val="32"/>
          <w:szCs w:val="32"/>
        </w:rPr>
        <w:lastRenderedPageBreak/>
        <w:t>文化服务水平提升。</w:t>
      </w:r>
      <w:r w:rsidR="001F02E7">
        <w:rPr>
          <w:rFonts w:ascii="楷体_GB2312" w:eastAsia="楷体_GB2312" w:hAnsi="宋体" w:cs="宋体" w:hint="eastAsia"/>
          <w:color w:val="000000"/>
          <w:kern w:val="0"/>
          <w:sz w:val="32"/>
          <w:szCs w:val="32"/>
        </w:rPr>
        <w:t>全年首批</w:t>
      </w:r>
      <w:r w:rsidR="003363F9" w:rsidRPr="00B30D5C">
        <w:rPr>
          <w:rFonts w:ascii="仿宋_GB2312" w:eastAsia="仿宋_GB2312" w:hAnsi="Times New Roman" w:cs="Times New Roman" w:hint="eastAsia"/>
          <w:sz w:val="32"/>
          <w:szCs w:val="32"/>
        </w:rPr>
        <w:t>建设基层综合文化服务中心</w:t>
      </w:r>
      <w:r w:rsidR="00826B9A">
        <w:rPr>
          <w:rFonts w:ascii="仿宋_GB2312" w:eastAsia="仿宋_GB2312" w:hAnsi="Times New Roman" w:cs="Times New Roman" w:hint="eastAsia"/>
          <w:sz w:val="32"/>
          <w:szCs w:val="32"/>
        </w:rPr>
        <w:t>325</w:t>
      </w:r>
      <w:r w:rsidR="00826B9A" w:rsidRPr="00B30D5C">
        <w:rPr>
          <w:rFonts w:ascii="仿宋_GB2312" w:eastAsia="仿宋_GB2312" w:hAnsi="Times New Roman" w:cs="Times New Roman" w:hint="eastAsia"/>
          <w:sz w:val="32"/>
          <w:szCs w:val="32"/>
        </w:rPr>
        <w:t>家</w:t>
      </w:r>
      <w:r w:rsidR="003363F9" w:rsidRPr="00B30D5C">
        <w:rPr>
          <w:rFonts w:ascii="仿宋_GB2312" w:eastAsia="仿宋_GB2312" w:hAnsi="Times New Roman" w:cs="Times New Roman" w:hint="eastAsia"/>
          <w:sz w:val="32"/>
          <w:szCs w:val="32"/>
        </w:rPr>
        <w:t>，</w:t>
      </w:r>
      <w:r w:rsidRPr="00B30D5C">
        <w:rPr>
          <w:rFonts w:ascii="仿宋_GB2312" w:eastAsia="仿宋_GB2312" w:hAnsi="Times New Roman" w:cs="Times New Roman" w:hint="eastAsia"/>
          <w:sz w:val="32"/>
          <w:szCs w:val="32"/>
        </w:rPr>
        <w:t>新增公共文化场馆39个，</w:t>
      </w:r>
      <w:r w:rsidR="001F02E7" w:rsidRPr="00DA03CD">
        <w:rPr>
          <w:rFonts w:ascii="仿宋_GB2312" w:eastAsia="仿宋_GB2312" w:hAnsi="Times New Roman" w:cs="Times New Roman" w:hint="eastAsia"/>
          <w:sz w:val="32"/>
          <w:szCs w:val="32"/>
        </w:rPr>
        <w:t>新建市图书馆分馆12个</w:t>
      </w:r>
      <w:r w:rsidR="001F02E7">
        <w:rPr>
          <w:rFonts w:ascii="仿宋_GB2312" w:eastAsia="仿宋_GB2312" w:hAnsi="Times New Roman" w:cs="Times New Roman" w:hint="eastAsia"/>
          <w:sz w:val="32"/>
          <w:szCs w:val="32"/>
        </w:rPr>
        <w:t>。</w:t>
      </w:r>
      <w:r w:rsidR="00DA03CD">
        <w:rPr>
          <w:rFonts w:ascii="仿宋_GB2312" w:eastAsia="仿宋_GB2312" w:hAnsi="Times New Roman" w:cs="Times New Roman" w:hint="eastAsia"/>
          <w:sz w:val="32"/>
          <w:szCs w:val="32"/>
        </w:rPr>
        <w:t>现代淮海戏《辣妈犟爸》参加第三届江苏文化艺术节并获优秀剧目奖，《白雪公主与七个小矮人》填补了本土儿童剧</w:t>
      </w:r>
      <w:r w:rsidR="003363F9">
        <w:rPr>
          <w:rFonts w:ascii="仿宋_GB2312" w:eastAsia="仿宋_GB2312" w:hAnsi="Times New Roman" w:cs="Times New Roman" w:hint="eastAsia"/>
          <w:sz w:val="32"/>
          <w:szCs w:val="32"/>
        </w:rPr>
        <w:t>空白</w:t>
      </w:r>
      <w:r w:rsidR="00826B9A">
        <w:rPr>
          <w:rFonts w:ascii="仿宋_GB2312" w:eastAsia="仿宋_GB2312" w:hAnsi="Times New Roman" w:cs="Times New Roman" w:hint="eastAsia"/>
          <w:sz w:val="32"/>
          <w:szCs w:val="32"/>
        </w:rPr>
        <w:t>，《决战花果山》网页游戏成功上线，实现了游戏研发零的突破</w:t>
      </w:r>
      <w:r w:rsidR="003363F9">
        <w:rPr>
          <w:rFonts w:ascii="仿宋_GB2312" w:eastAsia="仿宋_GB2312" w:hAnsi="Times New Roman" w:cs="Times New Roman" w:hint="eastAsia"/>
          <w:sz w:val="32"/>
          <w:szCs w:val="32"/>
        </w:rPr>
        <w:t>。</w:t>
      </w:r>
      <w:r w:rsidR="00DA03CD" w:rsidRPr="00DA03CD">
        <w:rPr>
          <w:rFonts w:ascii="仿宋_GB2312" w:eastAsia="仿宋_GB2312" w:hAnsi="Times New Roman" w:cs="Times New Roman" w:hint="eastAsia"/>
          <w:sz w:val="32"/>
          <w:szCs w:val="32"/>
        </w:rPr>
        <w:t>制作发放5万张农家书屋借阅证，200家“一卡通”农家书屋与县图书馆实现通借通还。</w:t>
      </w:r>
      <w:r w:rsidR="001F02E7">
        <w:rPr>
          <w:rFonts w:ascii="仿宋_GB2312" w:eastAsia="仿宋_GB2312" w:hAnsi="Times New Roman" w:cs="Times New Roman" w:hint="eastAsia"/>
          <w:sz w:val="32"/>
          <w:szCs w:val="32"/>
        </w:rPr>
        <w:t>全年组织举办广场文化活动、“港城一家亲”社区文化节等各类文化活动2万余场次，送戏下乡1328场。市图书馆入选国家第三批公共服务综合标准化试点项目，</w:t>
      </w:r>
      <w:r w:rsidR="001F02E7" w:rsidRPr="00DA03CD">
        <w:rPr>
          <w:rFonts w:ascii="仿宋_GB2312" w:eastAsia="仿宋_GB2312" w:hAnsi="Times New Roman" w:cs="Times New Roman" w:hint="eastAsia"/>
          <w:sz w:val="32"/>
          <w:szCs w:val="32"/>
        </w:rPr>
        <w:t>东海县入围省级书香城市示范县</w:t>
      </w:r>
      <w:r w:rsidR="001F02E7">
        <w:rPr>
          <w:rFonts w:ascii="仿宋_GB2312" w:eastAsia="仿宋_GB2312" w:hAnsi="Times New Roman" w:cs="Times New Roman" w:hint="eastAsia"/>
          <w:sz w:val="32"/>
          <w:szCs w:val="32"/>
        </w:rPr>
        <w:t>，灌南县成功创建省级公共文化服务体系示范区</w:t>
      </w:r>
      <w:r w:rsidR="00DA03CD" w:rsidRPr="00DA03CD">
        <w:rPr>
          <w:rFonts w:ascii="仿宋_GB2312" w:eastAsia="仿宋_GB2312" w:hAnsi="Times New Roman" w:cs="Times New Roman" w:hint="eastAsia"/>
          <w:sz w:val="32"/>
          <w:szCs w:val="32"/>
        </w:rPr>
        <w:t>。</w:t>
      </w:r>
    </w:p>
    <w:p w:rsidR="00F4156D" w:rsidRDefault="00DB3304" w:rsidP="009262F8">
      <w:pPr>
        <w:pStyle w:val="1"/>
        <w:spacing w:line="560" w:lineRule="exact"/>
        <w:ind w:firstLineChars="196" w:firstLine="627"/>
        <w:rPr>
          <w:rFonts w:ascii="仿宋_GB2312" w:eastAsia="仿宋_GB2312" w:hAnsi="Calibri"/>
          <w:sz w:val="32"/>
          <w:szCs w:val="32"/>
        </w:rPr>
      </w:pPr>
      <w:r w:rsidRPr="00DB3304">
        <w:rPr>
          <w:rFonts w:ascii="楷体_GB2312" w:eastAsia="楷体_GB2312" w:hAnsi="宋体" w:cs="宋体" w:hint="eastAsia"/>
          <w:color w:val="000000"/>
          <w:kern w:val="0"/>
          <w:sz w:val="32"/>
          <w:szCs w:val="32"/>
        </w:rPr>
        <w:t>卫生服务能力不断增强。</w:t>
      </w:r>
      <w:r>
        <w:rPr>
          <w:rFonts w:ascii="仿宋_GB2312" w:eastAsia="仿宋_GB2312" w:hAnsi="Calibri" w:hint="eastAsia"/>
          <w:sz w:val="32"/>
          <w:szCs w:val="32"/>
        </w:rPr>
        <w:t>医疗卫生投入</w:t>
      </w:r>
      <w:r w:rsidR="00826B9A">
        <w:rPr>
          <w:rFonts w:ascii="仿宋_GB2312" w:eastAsia="仿宋_GB2312" w:hAnsi="Calibri" w:hint="eastAsia"/>
          <w:sz w:val="32"/>
          <w:szCs w:val="32"/>
        </w:rPr>
        <w:t>不断加大</w:t>
      </w:r>
      <w:r>
        <w:rPr>
          <w:rFonts w:ascii="仿宋_GB2312" w:eastAsia="仿宋_GB2312" w:hAnsi="Calibri" w:hint="eastAsia"/>
          <w:sz w:val="32"/>
          <w:szCs w:val="32"/>
        </w:rPr>
        <w:t>，</w:t>
      </w:r>
      <w:r w:rsidRPr="005B1326">
        <w:rPr>
          <w:rFonts w:ascii="仿宋_GB2312" w:eastAsia="仿宋_GB2312" w:hAnsi="Calibri" w:hint="eastAsia"/>
          <w:sz w:val="32"/>
          <w:szCs w:val="32"/>
        </w:rPr>
        <w:t>第一人民医院新海院区项目竣工，</w:t>
      </w:r>
      <w:r w:rsidR="001F02E7" w:rsidRPr="00B746A9">
        <w:rPr>
          <w:rFonts w:ascii="仿宋" w:eastAsia="仿宋" w:hAnsi="仿宋" w:hint="eastAsia"/>
          <w:sz w:val="32"/>
          <w:szCs w:val="32"/>
        </w:rPr>
        <w:t>市精神卫生中心建成投用</w:t>
      </w:r>
      <w:r w:rsidR="001F02E7">
        <w:rPr>
          <w:rFonts w:ascii="仿宋" w:eastAsia="仿宋" w:hAnsi="仿宋" w:hint="eastAsia"/>
          <w:sz w:val="32"/>
          <w:szCs w:val="32"/>
        </w:rPr>
        <w:t>。</w:t>
      </w:r>
      <w:r w:rsidR="001F02E7" w:rsidRPr="001D3C0C">
        <w:rPr>
          <w:rFonts w:ascii="仿宋" w:eastAsia="仿宋" w:hAnsi="仿宋" w:hint="eastAsia"/>
          <w:sz w:val="32"/>
          <w:szCs w:val="32"/>
        </w:rPr>
        <w:t>新建医养融合型养老机构</w:t>
      </w:r>
      <w:r w:rsidR="001F02E7" w:rsidRPr="001D3C0C">
        <w:rPr>
          <w:rFonts w:ascii="仿宋" w:eastAsia="仿宋" w:hAnsi="仿宋"/>
          <w:sz w:val="32"/>
          <w:szCs w:val="32"/>
        </w:rPr>
        <w:t xml:space="preserve"> 2 </w:t>
      </w:r>
      <w:r w:rsidR="001F02E7" w:rsidRPr="001D3C0C">
        <w:rPr>
          <w:rFonts w:ascii="仿宋" w:eastAsia="仿宋" w:hAnsi="仿宋" w:hint="eastAsia"/>
          <w:sz w:val="32"/>
          <w:szCs w:val="32"/>
        </w:rPr>
        <w:t>家</w:t>
      </w:r>
      <w:r w:rsidR="001F02E7">
        <w:rPr>
          <w:rFonts w:ascii="仿宋" w:eastAsia="仿宋" w:hAnsi="仿宋" w:hint="eastAsia"/>
          <w:sz w:val="32"/>
          <w:szCs w:val="32"/>
        </w:rPr>
        <w:t>，</w:t>
      </w:r>
      <w:r w:rsidR="001F02E7" w:rsidRPr="001D3C0C">
        <w:rPr>
          <w:rFonts w:ascii="仿宋" w:eastAsia="仿宋" w:hAnsi="仿宋" w:hint="eastAsia"/>
          <w:sz w:val="32"/>
          <w:szCs w:val="32"/>
        </w:rPr>
        <w:t>赣</w:t>
      </w:r>
      <w:r w:rsidR="001F02E7">
        <w:rPr>
          <w:rFonts w:ascii="仿宋" w:eastAsia="仿宋" w:hAnsi="仿宋" w:hint="eastAsia"/>
          <w:sz w:val="32"/>
          <w:szCs w:val="32"/>
        </w:rPr>
        <w:t>榆区人民医院养老护理院、市东方医院“东方康复养老中心”投入运营。</w:t>
      </w:r>
      <w:r w:rsidRPr="00B3433B">
        <w:rPr>
          <w:rFonts w:ascii="仿宋_GB2312" w:eastAsia="仿宋_GB2312" w:hAnsi="Calibri" w:hint="eastAsia"/>
          <w:sz w:val="32"/>
          <w:szCs w:val="32"/>
        </w:rPr>
        <w:t>生殖健康、妇幼保健、托幼等</w:t>
      </w:r>
      <w:r w:rsidRPr="005B1326">
        <w:rPr>
          <w:rFonts w:ascii="仿宋_GB2312" w:eastAsia="仿宋_GB2312" w:hAnsi="Calibri" w:hint="eastAsia"/>
          <w:sz w:val="32"/>
          <w:szCs w:val="32"/>
        </w:rPr>
        <w:t>公共卫生服务能力进一步提升。分级诊疗制度</w:t>
      </w:r>
      <w:r w:rsidR="00F37185" w:rsidRPr="005B1326">
        <w:rPr>
          <w:rFonts w:ascii="仿宋_GB2312" w:eastAsia="仿宋_GB2312" w:hAnsi="Calibri" w:hint="eastAsia"/>
          <w:sz w:val="32"/>
          <w:szCs w:val="32"/>
        </w:rPr>
        <w:t>加快构建</w:t>
      </w:r>
      <w:r w:rsidRPr="005B1326">
        <w:rPr>
          <w:rFonts w:ascii="仿宋_GB2312" w:eastAsia="仿宋_GB2312" w:hAnsi="Calibri" w:hint="eastAsia"/>
          <w:sz w:val="32"/>
          <w:szCs w:val="32"/>
        </w:rPr>
        <w:t>，基层医疗机构首诊量达到</w:t>
      </w:r>
      <w:r w:rsidRPr="005B1326">
        <w:rPr>
          <w:rFonts w:ascii="仿宋_GB2312" w:eastAsia="仿宋_GB2312" w:hAnsi="Calibri"/>
          <w:sz w:val="32"/>
          <w:szCs w:val="32"/>
        </w:rPr>
        <w:t>60%</w:t>
      </w:r>
      <w:r w:rsidRPr="005B1326">
        <w:rPr>
          <w:rFonts w:ascii="仿宋_GB2312" w:eastAsia="仿宋_GB2312" w:hAnsi="Calibri" w:hint="eastAsia"/>
          <w:sz w:val="32"/>
          <w:szCs w:val="32"/>
        </w:rPr>
        <w:t>。</w:t>
      </w:r>
      <w:r w:rsidR="00F4156D">
        <w:rPr>
          <w:rFonts w:ascii="仿宋" w:eastAsia="仿宋" w:hAnsi="仿宋" w:hint="eastAsia"/>
          <w:sz w:val="32"/>
          <w:szCs w:val="32"/>
        </w:rPr>
        <w:t>赣榆区人民</w:t>
      </w:r>
      <w:r w:rsidR="001F02E7">
        <w:rPr>
          <w:rFonts w:ascii="仿宋" w:eastAsia="仿宋" w:hAnsi="仿宋" w:hint="eastAsia"/>
          <w:sz w:val="32"/>
          <w:szCs w:val="32"/>
        </w:rPr>
        <w:t>医院</w:t>
      </w:r>
      <w:r w:rsidR="00F4156D">
        <w:rPr>
          <w:rFonts w:ascii="仿宋" w:eastAsia="仿宋" w:hAnsi="仿宋" w:hint="eastAsia"/>
          <w:sz w:val="32"/>
          <w:szCs w:val="32"/>
        </w:rPr>
        <w:t>建成国家三级综合性医院。</w:t>
      </w:r>
    </w:p>
    <w:p w:rsidR="00826B9A" w:rsidRDefault="00F4156D" w:rsidP="009262F8">
      <w:pPr>
        <w:widowControl/>
        <w:shd w:val="clear" w:color="auto" w:fill="FFFFFF"/>
        <w:spacing w:before="100" w:beforeAutospacing="1" w:after="100" w:afterAutospacing="1" w:line="560" w:lineRule="exact"/>
        <w:ind w:firstLineChars="200" w:firstLine="640"/>
        <w:rPr>
          <w:rFonts w:ascii="仿宋_GB2312" w:eastAsia="仿宋_GB2312" w:hAnsi="Calibri" w:cs="Times New Roman"/>
          <w:sz w:val="32"/>
          <w:szCs w:val="32"/>
        </w:rPr>
      </w:pPr>
      <w:r w:rsidRPr="00715C0D">
        <w:rPr>
          <w:rFonts w:ascii="楷体_GB2312" w:eastAsia="楷体_GB2312" w:hAnsi="宋体" w:cs="宋体" w:hint="eastAsia"/>
          <w:color w:val="000000"/>
          <w:kern w:val="0"/>
          <w:sz w:val="32"/>
          <w:szCs w:val="32"/>
        </w:rPr>
        <w:t>积极推进健康连云港建设。</w:t>
      </w:r>
      <w:r w:rsidRPr="00715C0D">
        <w:rPr>
          <w:rFonts w:ascii="仿宋_GB2312" w:eastAsia="仿宋_GB2312" w:hAnsi="Calibri" w:cs="Times New Roman" w:hint="eastAsia"/>
          <w:sz w:val="32"/>
          <w:szCs w:val="32"/>
        </w:rPr>
        <w:t>发</w:t>
      </w:r>
      <w:r w:rsidR="00715C0D" w:rsidRPr="00715C0D">
        <w:rPr>
          <w:rFonts w:ascii="仿宋_GB2312" w:eastAsia="仿宋_GB2312" w:hAnsi="Calibri" w:cs="Times New Roman" w:hint="eastAsia"/>
          <w:sz w:val="32"/>
          <w:szCs w:val="32"/>
        </w:rPr>
        <w:t>布</w:t>
      </w:r>
      <w:r w:rsidRPr="00715C0D">
        <w:rPr>
          <w:rFonts w:ascii="仿宋_GB2312" w:eastAsia="仿宋_GB2312" w:hAnsi="Calibri" w:cs="Times New Roman" w:hint="eastAsia"/>
          <w:sz w:val="32"/>
          <w:szCs w:val="32"/>
        </w:rPr>
        <w:t>《建设健康连云港行动计划（</w:t>
      </w:r>
      <w:r w:rsidRPr="00715C0D">
        <w:rPr>
          <w:rFonts w:ascii="仿宋_GB2312" w:eastAsia="仿宋_GB2312" w:hAnsi="Calibri" w:cs="Times New Roman"/>
          <w:sz w:val="32"/>
          <w:szCs w:val="32"/>
        </w:rPr>
        <w:t>2016-2020</w:t>
      </w:r>
      <w:r w:rsidRPr="00715C0D">
        <w:rPr>
          <w:rFonts w:ascii="仿宋_GB2312" w:eastAsia="仿宋_GB2312" w:hAnsi="Calibri" w:cs="Times New Roman" w:hint="eastAsia"/>
          <w:sz w:val="32"/>
          <w:szCs w:val="32"/>
        </w:rPr>
        <w:t>）》，通过广场活动、</w:t>
      </w:r>
      <w:r w:rsidR="00715C0D" w:rsidRPr="00715C0D">
        <w:rPr>
          <w:rFonts w:ascii="仿宋_GB2312" w:eastAsia="仿宋_GB2312" w:hAnsi="Calibri" w:cs="Times New Roman" w:hint="eastAsia"/>
          <w:sz w:val="32"/>
          <w:szCs w:val="32"/>
        </w:rPr>
        <w:t>市民健康学校、健康大讲堂、</w:t>
      </w:r>
      <w:r w:rsidRPr="00715C0D">
        <w:rPr>
          <w:rFonts w:ascii="仿宋_GB2312" w:eastAsia="仿宋_GB2312" w:hAnsi="Calibri" w:cs="Times New Roman" w:hint="eastAsia"/>
          <w:sz w:val="32"/>
          <w:szCs w:val="32"/>
        </w:rPr>
        <w:t>媒体专栏、健康教育讲师团巡讲等方式，大力普及健康知识；</w:t>
      </w:r>
      <w:r w:rsidR="00715C0D" w:rsidRPr="00715C0D">
        <w:rPr>
          <w:rFonts w:ascii="仿宋_GB2312" w:eastAsia="仿宋_GB2312" w:hAnsi="Calibri" w:cs="Times New Roman" w:hint="eastAsia"/>
          <w:sz w:val="32"/>
          <w:szCs w:val="32"/>
        </w:rPr>
        <w:t>积极倡导健康运动，</w:t>
      </w:r>
      <w:r w:rsidRPr="00715C0D">
        <w:rPr>
          <w:rFonts w:ascii="仿宋_GB2312" w:eastAsia="仿宋_GB2312" w:hAnsi="Calibri" w:cs="Times New Roman" w:hint="eastAsia"/>
          <w:sz w:val="32"/>
          <w:szCs w:val="32"/>
        </w:rPr>
        <w:t>举办各类健身活动，学校体</w:t>
      </w:r>
      <w:r w:rsidRPr="00715C0D">
        <w:rPr>
          <w:rFonts w:ascii="仿宋_GB2312" w:eastAsia="仿宋_GB2312" w:hAnsi="Calibri" w:cs="Times New Roman" w:hint="eastAsia"/>
          <w:sz w:val="32"/>
          <w:szCs w:val="32"/>
        </w:rPr>
        <w:lastRenderedPageBreak/>
        <w:t>育设施免费向社会开放</w:t>
      </w:r>
      <w:r w:rsidR="00715C0D" w:rsidRPr="00715C0D">
        <w:rPr>
          <w:rFonts w:ascii="仿宋_GB2312" w:eastAsia="仿宋_GB2312" w:hAnsi="Calibri" w:cs="Times New Roman" w:hint="eastAsia"/>
          <w:sz w:val="32"/>
          <w:szCs w:val="32"/>
        </w:rPr>
        <w:t>。</w:t>
      </w:r>
      <w:r w:rsidRPr="00715C0D">
        <w:rPr>
          <w:rFonts w:ascii="仿宋_GB2312" w:eastAsia="仿宋_GB2312" w:hAnsi="Calibri" w:cs="Times New Roman" w:hint="eastAsia"/>
          <w:sz w:val="32"/>
          <w:szCs w:val="32"/>
        </w:rPr>
        <w:t>全年新增居民健康卡</w:t>
      </w:r>
      <w:r w:rsidRPr="00715C0D">
        <w:rPr>
          <w:rFonts w:ascii="仿宋_GB2312" w:eastAsia="仿宋_GB2312" w:hAnsi="Calibri" w:cs="Times New Roman"/>
          <w:sz w:val="32"/>
          <w:szCs w:val="32"/>
        </w:rPr>
        <w:t>50</w:t>
      </w:r>
      <w:r w:rsidRPr="00715C0D">
        <w:rPr>
          <w:rFonts w:ascii="仿宋_GB2312" w:eastAsia="仿宋_GB2312" w:hAnsi="Calibri" w:cs="Times New Roman" w:hint="eastAsia"/>
          <w:sz w:val="32"/>
          <w:szCs w:val="32"/>
        </w:rPr>
        <w:t>余万张，获评全国“居民健康卡普及应用先进单位”。</w:t>
      </w:r>
    </w:p>
    <w:p w:rsidR="00DB3304" w:rsidRPr="00715C0D" w:rsidRDefault="00826B9A" w:rsidP="009262F8">
      <w:pPr>
        <w:widowControl/>
        <w:shd w:val="clear" w:color="auto" w:fill="FFFFFF"/>
        <w:spacing w:before="100" w:beforeAutospacing="1" w:after="100" w:afterAutospacing="1" w:line="560" w:lineRule="exact"/>
        <w:ind w:firstLineChars="200" w:firstLine="640"/>
        <w:rPr>
          <w:rFonts w:ascii="仿宋_GB2312" w:eastAsia="仿宋_GB2312" w:hAnsi="Calibri" w:cs="Times New Roman"/>
          <w:sz w:val="32"/>
          <w:szCs w:val="32"/>
        </w:rPr>
      </w:pPr>
      <w:r w:rsidRPr="005B32E5">
        <w:rPr>
          <w:rFonts w:ascii="楷体_GB2312" w:eastAsia="楷体_GB2312" w:hAnsi="宋体" w:cs="宋体" w:hint="eastAsia"/>
          <w:color w:val="000000"/>
          <w:kern w:val="0"/>
          <w:sz w:val="32"/>
          <w:szCs w:val="32"/>
        </w:rPr>
        <w:t>体育事业稳步发展。</w:t>
      </w:r>
      <w:r w:rsidRPr="005B32E5">
        <w:rPr>
          <w:rFonts w:ascii="仿宋_GB2312" w:eastAsia="仿宋_GB2312" w:hAnsi="Calibri" w:cs="Times New Roman" w:hint="eastAsia"/>
          <w:sz w:val="32"/>
          <w:szCs w:val="32"/>
        </w:rPr>
        <w:t>三名运动员入选</w:t>
      </w:r>
      <w:r w:rsidR="006D3C62">
        <w:rPr>
          <w:rFonts w:ascii="仿宋_GB2312" w:eastAsia="仿宋_GB2312" w:hAnsi="Calibri" w:cs="Times New Roman" w:hint="eastAsia"/>
          <w:sz w:val="32"/>
          <w:szCs w:val="32"/>
        </w:rPr>
        <w:t>第</w:t>
      </w:r>
      <w:r w:rsidRPr="005B32E5">
        <w:rPr>
          <w:rFonts w:ascii="仿宋_GB2312" w:eastAsia="仿宋_GB2312" w:hAnsi="Calibri" w:cs="Times New Roman" w:hint="eastAsia"/>
          <w:sz w:val="32"/>
          <w:szCs w:val="32"/>
        </w:rPr>
        <w:t>31届奥运会中国体育代表团，实现奥运会</w:t>
      </w:r>
      <w:r w:rsidR="005B32E5" w:rsidRPr="005B32E5">
        <w:rPr>
          <w:rFonts w:ascii="仿宋_GB2312" w:eastAsia="仿宋_GB2312" w:hAnsi="Calibri" w:cs="Times New Roman" w:hint="eastAsia"/>
          <w:sz w:val="32"/>
          <w:szCs w:val="32"/>
        </w:rPr>
        <w:t>金牌零的突破。</w:t>
      </w:r>
      <w:r w:rsidR="005B32E5">
        <w:rPr>
          <w:rFonts w:ascii="仿宋_GB2312" w:eastAsia="仿宋_GB2312" w:hAnsi="Calibri" w:cs="Times New Roman" w:hint="eastAsia"/>
          <w:sz w:val="32"/>
          <w:szCs w:val="32"/>
        </w:rPr>
        <w:t>新成立</w:t>
      </w:r>
      <w:r w:rsidR="005B32E5" w:rsidRPr="005B32E5">
        <w:rPr>
          <w:rFonts w:ascii="仿宋_GB2312" w:eastAsia="仿宋_GB2312" w:hAnsi="Calibri" w:cs="Times New Roman" w:hint="eastAsia"/>
          <w:sz w:val="32"/>
          <w:szCs w:val="32"/>
        </w:rPr>
        <w:t>市级体育协会6家，总数达到52家，组织比赛活动45项，举办社会体育指导员培训班20期。市、县区全面建成省公共体育服务体系示范区。</w:t>
      </w:r>
    </w:p>
    <w:p w:rsidR="00A948A1" w:rsidRDefault="00B74B05" w:rsidP="009262F8">
      <w:pPr>
        <w:widowControl/>
        <w:shd w:val="clear" w:color="auto" w:fill="FFFFFF"/>
        <w:spacing w:before="100" w:beforeAutospacing="1" w:after="100" w:afterAutospacing="1" w:line="560" w:lineRule="exact"/>
        <w:ind w:firstLineChars="200" w:firstLine="640"/>
        <w:rPr>
          <w:rFonts w:ascii="宋体" w:eastAsia="宋体" w:hAnsi="宋体" w:cs="宋体"/>
          <w:color w:val="353535"/>
          <w:kern w:val="0"/>
          <w:sz w:val="24"/>
          <w:szCs w:val="24"/>
        </w:rPr>
      </w:pPr>
      <w:r w:rsidRPr="00B74B05">
        <w:rPr>
          <w:rFonts w:ascii="Times New Roman" w:eastAsia="黑体" w:hAnsi="黑体" w:cs="宋体" w:hint="eastAsia"/>
          <w:color w:val="000000"/>
          <w:kern w:val="0"/>
          <w:sz w:val="32"/>
          <w:szCs w:val="32"/>
        </w:rPr>
        <w:t>十一、城市建设</w:t>
      </w:r>
      <w:r w:rsidR="007333DF">
        <w:rPr>
          <w:rFonts w:ascii="Times New Roman" w:eastAsia="黑体" w:hAnsi="黑体" w:cs="宋体" w:hint="eastAsia"/>
          <w:color w:val="000000"/>
          <w:kern w:val="0"/>
          <w:sz w:val="32"/>
          <w:szCs w:val="32"/>
        </w:rPr>
        <w:t>、</w:t>
      </w:r>
      <w:r w:rsidRPr="00B74B05">
        <w:rPr>
          <w:rFonts w:ascii="Times New Roman" w:eastAsia="黑体" w:hAnsi="黑体" w:cs="宋体" w:hint="eastAsia"/>
          <w:color w:val="000000"/>
          <w:kern w:val="0"/>
          <w:sz w:val="32"/>
          <w:szCs w:val="32"/>
        </w:rPr>
        <w:t>环境保护</w:t>
      </w:r>
      <w:r w:rsidR="007333DF" w:rsidRPr="00B74B05">
        <w:rPr>
          <w:rFonts w:ascii="Times New Roman" w:eastAsia="黑体" w:hAnsi="黑体" w:cs="宋体" w:hint="eastAsia"/>
          <w:color w:val="000000"/>
          <w:kern w:val="0"/>
          <w:sz w:val="32"/>
          <w:szCs w:val="32"/>
        </w:rPr>
        <w:t>和</w:t>
      </w:r>
      <w:r w:rsidR="007333DF">
        <w:rPr>
          <w:rFonts w:ascii="Times New Roman" w:eastAsia="黑体" w:hAnsi="黑体" w:cs="宋体" w:hint="eastAsia"/>
          <w:color w:val="000000"/>
          <w:kern w:val="0"/>
          <w:sz w:val="32"/>
          <w:szCs w:val="32"/>
        </w:rPr>
        <w:t>节能</w:t>
      </w:r>
      <w:r w:rsidR="00282A52">
        <w:rPr>
          <w:rFonts w:ascii="Times New Roman" w:eastAsia="黑体" w:hAnsi="黑体" w:cs="宋体" w:hint="eastAsia"/>
          <w:color w:val="000000"/>
          <w:kern w:val="0"/>
          <w:sz w:val="32"/>
          <w:szCs w:val="32"/>
        </w:rPr>
        <w:t>减排</w:t>
      </w:r>
    </w:p>
    <w:p w:rsidR="00983578" w:rsidRPr="00DA65D2" w:rsidRDefault="00983578" w:rsidP="009262F8">
      <w:pPr>
        <w:widowControl/>
        <w:shd w:val="clear" w:color="auto" w:fill="FFFFFF"/>
        <w:spacing w:before="100" w:beforeAutospacing="1" w:after="100" w:afterAutospacing="1" w:line="560" w:lineRule="exact"/>
        <w:ind w:firstLineChars="200" w:firstLine="640"/>
        <w:rPr>
          <w:rFonts w:ascii="仿宋_GB2312" w:eastAsia="仿宋_GB2312" w:hAnsi="Calibri" w:cs="Times New Roman"/>
          <w:sz w:val="32"/>
          <w:szCs w:val="32"/>
        </w:rPr>
      </w:pPr>
      <w:r w:rsidRPr="00E25D08">
        <w:rPr>
          <w:rFonts w:ascii="楷体_GB2312" w:eastAsia="楷体_GB2312" w:hAnsi="宋体" w:cs="宋体" w:hint="eastAsia"/>
          <w:color w:val="000000"/>
          <w:kern w:val="0"/>
          <w:sz w:val="32"/>
          <w:szCs w:val="32"/>
        </w:rPr>
        <w:t>城市布局不断优化。</w:t>
      </w:r>
      <w:r w:rsidRPr="00DA65D2">
        <w:rPr>
          <w:rFonts w:ascii="仿宋_GB2312" w:eastAsia="仿宋_GB2312" w:hAnsi="Calibri" w:cs="Times New Roman" w:hint="eastAsia"/>
          <w:sz w:val="32"/>
          <w:szCs w:val="32"/>
        </w:rPr>
        <w:t>全面落实“组团发展、功能互补、提升品质、彰显特色、快速联通”的城市发展布局，城市建成区面积扩大至214平方公里。全面加快“三轴一环三圈”建设，港城大道、花果山大道、海滨大道等城市发展主轴、环云台山大道和高铁、空港、海港三大特色商圈建设强势推进。</w:t>
      </w:r>
      <w:r w:rsidR="00DA65D2" w:rsidRPr="00DA65D2">
        <w:rPr>
          <w:rFonts w:ascii="仿宋_GB2312" w:eastAsia="仿宋_GB2312" w:hAnsi="Calibri" w:cs="Times New Roman" w:hint="eastAsia"/>
          <w:sz w:val="32"/>
          <w:szCs w:val="32"/>
        </w:rPr>
        <w:t>开发区创智绿园、赣榆火车站广场改造获批省级试点，综合管廊获批省级试点城市。</w:t>
      </w:r>
    </w:p>
    <w:p w:rsidR="00A948A1" w:rsidRPr="00A948A1" w:rsidRDefault="00DB3304" w:rsidP="009262F8">
      <w:pPr>
        <w:widowControl/>
        <w:shd w:val="clear" w:color="auto" w:fill="FFFFFF"/>
        <w:spacing w:before="100" w:beforeAutospacing="1" w:after="100" w:afterAutospacing="1" w:line="560" w:lineRule="exact"/>
        <w:ind w:firstLineChars="200" w:firstLine="640"/>
        <w:rPr>
          <w:rFonts w:ascii="宋体" w:eastAsia="宋体" w:hAnsi="宋体" w:cs="宋体"/>
          <w:color w:val="353535"/>
          <w:kern w:val="0"/>
          <w:sz w:val="24"/>
          <w:szCs w:val="24"/>
        </w:rPr>
      </w:pPr>
      <w:r w:rsidRPr="00DB3304">
        <w:rPr>
          <w:rFonts w:ascii="楷体_GB2312" w:eastAsia="楷体_GB2312" w:hAnsi="宋体" w:cs="宋体" w:hint="eastAsia"/>
          <w:color w:val="000000"/>
          <w:kern w:val="0"/>
          <w:sz w:val="32"/>
          <w:szCs w:val="32"/>
        </w:rPr>
        <w:t>环境综合整治深入推进。</w:t>
      </w:r>
      <w:r w:rsidRPr="00965DF2">
        <w:rPr>
          <w:rFonts w:ascii="仿宋_GB2312" w:eastAsia="仿宋_GB2312" w:hAnsi="Calibri" w:cs="Times New Roman" w:hint="eastAsia"/>
          <w:sz w:val="32"/>
          <w:szCs w:val="32"/>
        </w:rPr>
        <w:t>秸秆综禁成效明显，化工园区整治力度加大，</w:t>
      </w:r>
      <w:r w:rsidRPr="00965DF2">
        <w:rPr>
          <w:rFonts w:ascii="仿宋_GB2312" w:eastAsia="仿宋_GB2312" w:hAnsi="Calibri" w:cs="Times New Roman"/>
          <w:sz w:val="32"/>
          <w:szCs w:val="32"/>
        </w:rPr>
        <w:t>小钢铁、小化工等领域</w:t>
      </w:r>
      <w:r w:rsidRPr="00965DF2">
        <w:rPr>
          <w:rFonts w:ascii="仿宋_GB2312" w:eastAsia="仿宋_GB2312" w:hAnsi="Calibri" w:cs="Times New Roman" w:hint="eastAsia"/>
          <w:sz w:val="32"/>
          <w:szCs w:val="32"/>
        </w:rPr>
        <w:t>去产能</w:t>
      </w:r>
      <w:r w:rsidRPr="00965DF2">
        <w:rPr>
          <w:rFonts w:ascii="仿宋_GB2312" w:eastAsia="仿宋_GB2312" w:hAnsi="Calibri" w:cs="Times New Roman"/>
          <w:sz w:val="32"/>
          <w:szCs w:val="32"/>
        </w:rPr>
        <w:t>成效明显</w:t>
      </w:r>
      <w:r w:rsidRPr="00965DF2">
        <w:rPr>
          <w:rFonts w:ascii="仿宋_GB2312" w:eastAsia="仿宋_GB2312" w:hAnsi="Calibri" w:cs="Times New Roman" w:hint="eastAsia"/>
          <w:sz w:val="32"/>
          <w:szCs w:val="32"/>
        </w:rPr>
        <w:t>。</w:t>
      </w:r>
      <w:r w:rsidR="00E5242D">
        <w:rPr>
          <w:rFonts w:ascii="仿宋_GB2312" w:eastAsia="仿宋_GB2312" w:hAnsi="Calibri" w:cs="Times New Roman" w:hint="eastAsia"/>
          <w:sz w:val="32"/>
          <w:szCs w:val="32"/>
        </w:rPr>
        <w:t>市区</w:t>
      </w:r>
      <w:r w:rsidRPr="00965DF2">
        <w:rPr>
          <w:rFonts w:ascii="仿宋_GB2312" w:eastAsia="仿宋_GB2312" w:hAnsi="Calibri" w:cs="Times New Roman" w:hint="eastAsia"/>
          <w:sz w:val="32"/>
          <w:szCs w:val="32"/>
        </w:rPr>
        <w:t>空气</w:t>
      </w:r>
      <w:r w:rsidR="00E5242D">
        <w:rPr>
          <w:rFonts w:ascii="仿宋_GB2312" w:eastAsia="仿宋_GB2312" w:hAnsi="Calibri" w:cs="Times New Roman" w:hint="eastAsia"/>
          <w:sz w:val="32"/>
          <w:szCs w:val="32"/>
        </w:rPr>
        <w:t>质量</w:t>
      </w:r>
      <w:r w:rsidRPr="00965DF2">
        <w:rPr>
          <w:rFonts w:ascii="仿宋_GB2312" w:eastAsia="仿宋_GB2312" w:hAnsi="Calibri" w:cs="Times New Roman" w:hint="eastAsia"/>
          <w:sz w:val="32"/>
          <w:szCs w:val="32"/>
        </w:rPr>
        <w:t>优良率</w:t>
      </w:r>
      <w:r w:rsidR="00E5242D">
        <w:rPr>
          <w:rFonts w:ascii="仿宋_GB2312" w:eastAsia="仿宋_GB2312" w:hAnsi="Calibri" w:cs="Times New Roman" w:hint="eastAsia"/>
          <w:sz w:val="32"/>
          <w:szCs w:val="32"/>
        </w:rPr>
        <w:t>为76.5%，</w:t>
      </w:r>
      <w:r w:rsidR="00E5242D" w:rsidRPr="00E5242D">
        <w:rPr>
          <w:rFonts w:ascii="仿宋_GB2312" w:eastAsia="仿宋_GB2312" w:hAnsi="Calibri" w:cs="Times New Roman"/>
          <w:sz w:val="32"/>
          <w:szCs w:val="32"/>
        </w:rPr>
        <w:t>PM2.5</w:t>
      </w:r>
      <w:r w:rsidR="00E5242D" w:rsidRPr="00E5242D">
        <w:rPr>
          <w:rFonts w:ascii="仿宋_GB2312" w:eastAsia="仿宋_GB2312" w:hAnsi="Calibri" w:cs="Times New Roman" w:hint="eastAsia"/>
          <w:sz w:val="32"/>
          <w:szCs w:val="32"/>
        </w:rPr>
        <w:t>浓度值为46微克/立方米，</w:t>
      </w:r>
      <w:r w:rsidR="00E5242D" w:rsidRPr="00965DF2">
        <w:rPr>
          <w:rFonts w:ascii="仿宋_GB2312" w:eastAsia="仿宋_GB2312" w:hAnsi="Calibri" w:cs="Times New Roman" w:hint="eastAsia"/>
          <w:sz w:val="32"/>
          <w:szCs w:val="32"/>
        </w:rPr>
        <w:t>全省</w:t>
      </w:r>
      <w:r w:rsidR="00E5242D">
        <w:rPr>
          <w:rFonts w:ascii="仿宋_GB2312" w:eastAsia="仿宋_GB2312" w:hAnsi="Calibri" w:cs="Times New Roman" w:hint="eastAsia"/>
          <w:sz w:val="32"/>
          <w:szCs w:val="32"/>
        </w:rPr>
        <w:t>排名第2位。</w:t>
      </w:r>
      <w:r w:rsidR="001F06A3">
        <w:rPr>
          <w:rFonts w:ascii="仿宋_GB2312" w:eastAsia="仿宋_GB2312" w:hAnsi="Calibri" w:cs="Times New Roman" w:hint="eastAsia"/>
          <w:sz w:val="32"/>
          <w:szCs w:val="32"/>
        </w:rPr>
        <w:t>22个省控考核断面中，达到或优于地表水Ⅲ类水比例为63.6%，劣Ⅴ类水比例为13.6%，15条入海河流劣Ⅴ类水比例为26.7%，均达到年度考核目标。</w:t>
      </w:r>
      <w:r w:rsidR="00F40C2A">
        <w:rPr>
          <w:rFonts w:ascii="仿宋_GB2312" w:eastAsia="仿宋_GB2312" w:hAnsi="Calibri" w:cs="Times New Roman" w:hint="eastAsia"/>
          <w:sz w:val="32"/>
          <w:szCs w:val="32"/>
        </w:rPr>
        <w:t>在全国地级市中第一个开展</w:t>
      </w:r>
      <w:r w:rsidRPr="00965DF2">
        <w:rPr>
          <w:rFonts w:ascii="仿宋_GB2312" w:eastAsia="仿宋_GB2312" w:hAnsi="Calibri" w:cs="Times New Roman" w:hint="eastAsia"/>
          <w:sz w:val="32"/>
          <w:szCs w:val="32"/>
        </w:rPr>
        <w:t>战略环评试点</w:t>
      </w:r>
      <w:r w:rsidR="00F40C2A">
        <w:rPr>
          <w:rFonts w:ascii="仿宋_GB2312" w:eastAsia="仿宋_GB2312" w:hAnsi="Calibri" w:cs="Times New Roman" w:hint="eastAsia"/>
          <w:sz w:val="32"/>
          <w:szCs w:val="32"/>
        </w:rPr>
        <w:t>，并通过环保部专家论</w:t>
      </w:r>
      <w:r w:rsidR="00F40C2A">
        <w:rPr>
          <w:rFonts w:ascii="仿宋_GB2312" w:eastAsia="仿宋_GB2312" w:hAnsi="Calibri" w:cs="Times New Roman" w:hint="eastAsia"/>
          <w:sz w:val="32"/>
          <w:szCs w:val="32"/>
        </w:rPr>
        <w:lastRenderedPageBreak/>
        <w:t>证暨验收。</w:t>
      </w:r>
      <w:r w:rsidRPr="00965DF2">
        <w:rPr>
          <w:rFonts w:ascii="仿宋_GB2312" w:eastAsia="仿宋_GB2312" w:hAnsi="Calibri" w:cs="Times New Roman" w:hint="eastAsia"/>
          <w:sz w:val="32"/>
          <w:szCs w:val="32"/>
        </w:rPr>
        <w:t>东海县、赣榆区通过国家级生态县区验收，市开发区获批国家生态工业示范区</w:t>
      </w:r>
      <w:r w:rsidR="00F40C2A">
        <w:rPr>
          <w:rFonts w:ascii="仿宋_GB2312" w:eastAsia="仿宋_GB2312" w:hAnsi="Calibri" w:cs="Times New Roman" w:hint="eastAsia"/>
          <w:sz w:val="32"/>
          <w:szCs w:val="32"/>
        </w:rPr>
        <w:t>，海州区、连云区通过省级生态区技术评估</w:t>
      </w:r>
      <w:r w:rsidRPr="00965DF2">
        <w:rPr>
          <w:rFonts w:ascii="仿宋_GB2312" w:eastAsia="仿宋_GB2312" w:hAnsi="Calibri" w:cs="Times New Roman" w:hint="eastAsia"/>
          <w:sz w:val="32"/>
          <w:szCs w:val="32"/>
        </w:rPr>
        <w:t>。</w:t>
      </w:r>
    </w:p>
    <w:p w:rsidR="00E25D08" w:rsidRDefault="00DB3304" w:rsidP="009262F8">
      <w:pPr>
        <w:spacing w:line="560" w:lineRule="exact"/>
        <w:ind w:firstLine="646"/>
        <w:rPr>
          <w:rFonts w:ascii="仿宋_GB2312" w:eastAsia="仿宋_GB2312" w:hAnsi="Calibri" w:cs="Times New Roman"/>
          <w:sz w:val="32"/>
          <w:szCs w:val="32"/>
        </w:rPr>
      </w:pPr>
      <w:r w:rsidRPr="00DB3304">
        <w:rPr>
          <w:rFonts w:ascii="楷体_GB2312" w:eastAsia="楷体_GB2312" w:hAnsi="宋体" w:cs="宋体"/>
          <w:color w:val="000000"/>
          <w:kern w:val="0"/>
          <w:sz w:val="32"/>
          <w:szCs w:val="32"/>
        </w:rPr>
        <w:t>人居环境显著提升。</w:t>
      </w:r>
      <w:r w:rsidRPr="00965DF2">
        <w:rPr>
          <w:rFonts w:ascii="仿宋_GB2312" w:eastAsia="仿宋_GB2312" w:hAnsi="Calibri" w:cs="Times New Roman"/>
          <w:sz w:val="32"/>
          <w:szCs w:val="32"/>
        </w:rPr>
        <w:t>城市快速公交、公共自行车等绿色出行网络</w:t>
      </w:r>
      <w:r w:rsidRPr="00965DF2">
        <w:rPr>
          <w:rFonts w:ascii="仿宋_GB2312" w:eastAsia="仿宋_GB2312" w:hAnsi="Calibri" w:cs="Times New Roman" w:hint="eastAsia"/>
          <w:sz w:val="32"/>
          <w:szCs w:val="32"/>
        </w:rPr>
        <w:t>不断完善，</w:t>
      </w:r>
      <w:r w:rsidRPr="00965DF2">
        <w:rPr>
          <w:rFonts w:ascii="仿宋_GB2312" w:eastAsia="仿宋_GB2312" w:hAnsi="Calibri" w:cs="Times New Roman"/>
          <w:sz w:val="32"/>
          <w:szCs w:val="32"/>
        </w:rPr>
        <w:t>城市饮用水</w:t>
      </w:r>
      <w:r>
        <w:rPr>
          <w:rFonts w:ascii="仿宋_GB2312" w:eastAsia="仿宋_GB2312" w:hAnsi="Calibri" w:cs="Times New Roman" w:hint="eastAsia"/>
          <w:sz w:val="32"/>
          <w:szCs w:val="32"/>
        </w:rPr>
        <w:t>“</w:t>
      </w:r>
      <w:r w:rsidRPr="00965DF2">
        <w:rPr>
          <w:rFonts w:ascii="仿宋_GB2312" w:eastAsia="仿宋_GB2312" w:hAnsi="Calibri" w:cs="Times New Roman"/>
          <w:sz w:val="32"/>
          <w:szCs w:val="32"/>
        </w:rPr>
        <w:t>双源双线</w:t>
      </w:r>
      <w:r>
        <w:rPr>
          <w:rFonts w:ascii="仿宋_GB2312" w:eastAsia="仿宋_GB2312" w:hAnsi="Calibri" w:cs="Times New Roman" w:hint="eastAsia"/>
          <w:sz w:val="32"/>
          <w:szCs w:val="32"/>
        </w:rPr>
        <w:t>”</w:t>
      </w:r>
      <w:r w:rsidRPr="00965DF2">
        <w:rPr>
          <w:rFonts w:ascii="仿宋_GB2312" w:eastAsia="仿宋_GB2312" w:hAnsi="Calibri" w:cs="Times New Roman"/>
          <w:sz w:val="32"/>
          <w:szCs w:val="32"/>
        </w:rPr>
        <w:t>工程建成投用</w:t>
      </w:r>
      <w:r w:rsidR="00DA65D2">
        <w:rPr>
          <w:rFonts w:ascii="仿宋_GB2312" w:eastAsia="仿宋_GB2312" w:hAnsi="Calibri" w:cs="Times New Roman" w:hint="eastAsia"/>
          <w:sz w:val="32"/>
          <w:szCs w:val="32"/>
        </w:rPr>
        <w:t>。</w:t>
      </w:r>
      <w:r w:rsidR="00DA65D2" w:rsidRPr="00DA65D2">
        <w:rPr>
          <w:rFonts w:ascii="仿宋_GB2312" w:eastAsia="仿宋_GB2312" w:hAnsi="Calibri" w:cs="Times New Roman" w:hint="eastAsia"/>
          <w:sz w:val="32"/>
          <w:szCs w:val="32"/>
        </w:rPr>
        <w:t>市区新增绿地300公顷，建成区绿地率达37.6%，绿化覆盖率达40.2%，人均公园绿地面积达14.4</w:t>
      </w:r>
      <w:r w:rsidR="00DA65D2" w:rsidRPr="00E25D08">
        <w:rPr>
          <w:rFonts w:ascii="仿宋_GB2312" w:eastAsia="仿宋_GB2312" w:hAnsi="Calibri" w:cs="Times New Roman" w:hint="eastAsia"/>
          <w:sz w:val="32"/>
          <w:szCs w:val="32"/>
        </w:rPr>
        <w:t>㎡。</w:t>
      </w:r>
      <w:r w:rsidR="00DA65D2" w:rsidRPr="00DA65D2">
        <w:rPr>
          <w:rFonts w:ascii="仿宋_GB2312" w:eastAsia="仿宋_GB2312" w:hAnsi="Calibri" w:cs="Times New Roman" w:hint="eastAsia"/>
          <w:sz w:val="32"/>
          <w:szCs w:val="32"/>
        </w:rPr>
        <w:t>公园绿地十分钟服务圈加快实施，扩建月牙岛湿地公园，新建创智绿园、香海湖公园、新丝路公园，修复郁洲公园景观；新改建庙岭游园、西盐河樱花园、和煦园等9个街头游园</w:t>
      </w:r>
      <w:r w:rsidR="001F06A3">
        <w:rPr>
          <w:rFonts w:ascii="仿宋_GB2312" w:eastAsia="仿宋_GB2312" w:hAnsi="Calibri" w:cs="Times New Roman" w:hint="eastAsia"/>
          <w:sz w:val="32"/>
          <w:szCs w:val="32"/>
        </w:rPr>
        <w:t>。</w:t>
      </w:r>
      <w:r w:rsidR="00E25D08" w:rsidRPr="00E25D08">
        <w:rPr>
          <w:rFonts w:ascii="仿宋_GB2312" w:eastAsia="仿宋_GB2312" w:hAnsi="Calibri" w:cs="Times New Roman" w:hint="eastAsia"/>
          <w:sz w:val="32"/>
          <w:szCs w:val="32"/>
        </w:rPr>
        <w:t>重点中心镇和临海城镇完成验收，东海温泉、赣榆班庄获批省级重点及特色镇；连云区连岛街道西连岛村西连岛等11个美丽乡村示范项目完成建设，海州区浦南镇龙浦村大官庄等8个村庄获批省级康居村庄，连云区宿城街道大竹园村大竹园、赣榆区金山镇徐福村后徐福获批省级传统村落项目。</w:t>
      </w:r>
      <w:r w:rsidRPr="00965DF2">
        <w:rPr>
          <w:rFonts w:ascii="仿宋_GB2312" w:eastAsia="仿宋_GB2312" w:hAnsi="Calibri" w:cs="Times New Roman"/>
          <w:sz w:val="32"/>
          <w:szCs w:val="32"/>
        </w:rPr>
        <w:t>创成全国绿化模范城市</w:t>
      </w:r>
      <w:r w:rsidRPr="00965DF2">
        <w:rPr>
          <w:rFonts w:ascii="仿宋_GB2312" w:eastAsia="仿宋_GB2312" w:hAnsi="Calibri" w:cs="Times New Roman" w:hint="eastAsia"/>
          <w:sz w:val="32"/>
          <w:szCs w:val="32"/>
        </w:rPr>
        <w:t>、国家</w:t>
      </w:r>
      <w:r w:rsidRPr="00965DF2">
        <w:rPr>
          <w:rFonts w:ascii="仿宋_GB2312" w:eastAsia="仿宋_GB2312" w:hAnsi="Calibri" w:cs="Times New Roman"/>
          <w:sz w:val="32"/>
          <w:szCs w:val="32"/>
        </w:rPr>
        <w:t>园林城市和</w:t>
      </w:r>
      <w:r w:rsidRPr="00965DF2">
        <w:rPr>
          <w:rFonts w:ascii="仿宋_GB2312" w:eastAsia="仿宋_GB2312" w:hAnsi="Calibri" w:cs="Times New Roman" w:hint="eastAsia"/>
          <w:sz w:val="32"/>
          <w:szCs w:val="32"/>
        </w:rPr>
        <w:t>国家</w:t>
      </w:r>
      <w:r w:rsidRPr="00965DF2">
        <w:rPr>
          <w:rFonts w:ascii="仿宋_GB2312" w:eastAsia="仿宋_GB2312" w:hAnsi="Calibri" w:cs="Times New Roman"/>
          <w:sz w:val="32"/>
          <w:szCs w:val="32"/>
        </w:rPr>
        <w:t>节水型城市</w:t>
      </w:r>
      <w:r>
        <w:rPr>
          <w:rFonts w:ascii="仿宋_GB2312" w:eastAsia="仿宋_GB2312" w:hAnsi="Calibri" w:cs="Times New Roman" w:hint="eastAsia"/>
          <w:sz w:val="32"/>
          <w:szCs w:val="32"/>
        </w:rPr>
        <w:t>，</w:t>
      </w:r>
      <w:r w:rsidRPr="009D48B5">
        <w:rPr>
          <w:rFonts w:ascii="仿宋_GB2312" w:eastAsia="仿宋_GB2312" w:hAnsi="Calibri" w:cs="Times New Roman" w:hint="eastAsia"/>
          <w:sz w:val="32"/>
          <w:szCs w:val="32"/>
        </w:rPr>
        <w:t>国家</w:t>
      </w:r>
      <w:r w:rsidRPr="009D48B5">
        <w:rPr>
          <w:rFonts w:ascii="仿宋_GB2312" w:eastAsia="仿宋_GB2312" w:hAnsi="Calibri" w:cs="Times New Roman"/>
          <w:sz w:val="32"/>
          <w:szCs w:val="32"/>
        </w:rPr>
        <w:t>卫生城市创建</w:t>
      </w:r>
      <w:r w:rsidRPr="009D48B5">
        <w:rPr>
          <w:rFonts w:ascii="仿宋_GB2312" w:eastAsia="仿宋_GB2312" w:hAnsi="Calibri" w:cs="Times New Roman" w:hint="eastAsia"/>
          <w:sz w:val="32"/>
          <w:szCs w:val="32"/>
        </w:rPr>
        <w:t>圆满通过国家技术评估。</w:t>
      </w:r>
    </w:p>
    <w:p w:rsidR="00B74B05" w:rsidRDefault="00B74B05" w:rsidP="009262F8">
      <w:pPr>
        <w:widowControl/>
        <w:shd w:val="clear" w:color="auto" w:fill="FFFFFF"/>
        <w:spacing w:before="100" w:beforeAutospacing="1" w:after="100" w:afterAutospacing="1" w:line="560" w:lineRule="exact"/>
        <w:ind w:firstLineChars="200" w:firstLine="640"/>
        <w:rPr>
          <w:rFonts w:ascii="仿宋" w:eastAsia="仿宋" w:hAnsi="仿宋" w:cs="宋体"/>
          <w:kern w:val="0"/>
          <w:sz w:val="32"/>
          <w:szCs w:val="32"/>
        </w:rPr>
      </w:pPr>
      <w:r w:rsidRPr="00E25D08">
        <w:rPr>
          <w:rFonts w:ascii="楷体_GB2312" w:eastAsia="楷体_GB2312" w:hAnsi="宋体" w:cs="宋体" w:hint="eastAsia"/>
          <w:color w:val="000000"/>
          <w:kern w:val="0"/>
          <w:sz w:val="32"/>
          <w:szCs w:val="32"/>
        </w:rPr>
        <w:t>民生工程持续推进。</w:t>
      </w:r>
      <w:r w:rsidR="00DA65D2" w:rsidRPr="00DA65D2">
        <w:rPr>
          <w:rFonts w:ascii="仿宋_GB2312" w:eastAsia="仿宋_GB2312" w:hAnsi="Calibri" w:cs="Times New Roman" w:hint="eastAsia"/>
          <w:sz w:val="32"/>
          <w:szCs w:val="32"/>
        </w:rPr>
        <w:t>改造</w:t>
      </w:r>
      <w:r w:rsidR="00983578" w:rsidRPr="00DA65D2">
        <w:rPr>
          <w:rFonts w:ascii="仿宋_GB2312" w:eastAsia="仿宋_GB2312" w:hAnsi="Calibri" w:cs="Times New Roman" w:hint="eastAsia"/>
          <w:sz w:val="32"/>
          <w:szCs w:val="32"/>
        </w:rPr>
        <w:t>背街小巷</w:t>
      </w:r>
      <w:r w:rsidR="00DA65D2" w:rsidRPr="00DA65D2">
        <w:rPr>
          <w:rFonts w:ascii="仿宋_GB2312" w:eastAsia="仿宋_GB2312" w:hAnsi="Calibri" w:cs="Times New Roman" w:hint="eastAsia"/>
          <w:sz w:val="32"/>
          <w:szCs w:val="32"/>
        </w:rPr>
        <w:t>，完成</w:t>
      </w:r>
      <w:r w:rsidR="00983578" w:rsidRPr="00DA65D2">
        <w:rPr>
          <w:rFonts w:ascii="仿宋_GB2312" w:eastAsia="仿宋_GB2312" w:hAnsi="Calibri" w:cs="Times New Roman" w:hint="eastAsia"/>
          <w:sz w:val="32"/>
          <w:szCs w:val="32"/>
        </w:rPr>
        <w:t>东大新村、玉带新村、海宁小区、蔷薇小区等23个老旧小区309条53公里背街小巷</w:t>
      </w:r>
      <w:r w:rsidR="00DA65D2" w:rsidRPr="00DA65D2">
        <w:rPr>
          <w:rFonts w:ascii="仿宋_GB2312" w:eastAsia="仿宋_GB2312" w:hAnsi="Calibri" w:cs="Times New Roman" w:hint="eastAsia"/>
          <w:sz w:val="32"/>
          <w:szCs w:val="32"/>
        </w:rPr>
        <w:t>改造</w:t>
      </w:r>
      <w:r w:rsidR="00983578" w:rsidRPr="00DA65D2">
        <w:rPr>
          <w:rFonts w:ascii="仿宋_GB2312" w:eastAsia="仿宋_GB2312" w:hAnsi="Calibri" w:cs="Times New Roman" w:hint="eastAsia"/>
          <w:sz w:val="32"/>
          <w:szCs w:val="32"/>
        </w:rPr>
        <w:t>。</w:t>
      </w:r>
      <w:r w:rsidR="00DA65D2" w:rsidRPr="00DA65D2">
        <w:rPr>
          <w:rFonts w:ascii="仿宋_GB2312" w:eastAsia="仿宋_GB2312" w:hAnsi="Calibri" w:cs="Times New Roman" w:hint="eastAsia"/>
          <w:sz w:val="32"/>
          <w:szCs w:val="32"/>
        </w:rPr>
        <w:t>整治</w:t>
      </w:r>
      <w:r w:rsidR="00983578" w:rsidRPr="00DA65D2">
        <w:rPr>
          <w:rFonts w:ascii="仿宋_GB2312" w:eastAsia="仿宋_GB2312" w:hAnsi="Calibri" w:cs="Times New Roman" w:hint="eastAsia"/>
          <w:sz w:val="32"/>
          <w:szCs w:val="32"/>
        </w:rPr>
        <w:t>河道</w:t>
      </w:r>
      <w:r w:rsidR="00DA65D2" w:rsidRPr="00DA65D2">
        <w:rPr>
          <w:rFonts w:ascii="仿宋_GB2312" w:eastAsia="仿宋_GB2312" w:hAnsi="Calibri" w:cs="Times New Roman" w:hint="eastAsia"/>
          <w:sz w:val="32"/>
          <w:szCs w:val="32"/>
        </w:rPr>
        <w:t>，</w:t>
      </w:r>
      <w:r w:rsidR="00983578" w:rsidRPr="00DA65D2">
        <w:rPr>
          <w:rFonts w:ascii="仿宋_GB2312" w:eastAsia="仿宋_GB2312" w:hAnsi="Calibri" w:cs="Times New Roman" w:hint="eastAsia"/>
          <w:sz w:val="32"/>
          <w:szCs w:val="32"/>
        </w:rPr>
        <w:t>整治生活污水排口105个，完成黑臭水体排查并实施综合治理。</w:t>
      </w:r>
      <w:r w:rsidR="00E25D08" w:rsidRPr="000D0AB6">
        <w:rPr>
          <w:rFonts w:ascii="仿宋" w:eastAsia="仿宋" w:hAnsi="仿宋" w:hint="eastAsia"/>
          <w:sz w:val="32"/>
          <w:szCs w:val="32"/>
        </w:rPr>
        <w:t>改造危旧房</w:t>
      </w:r>
      <w:r w:rsidR="00E25D08">
        <w:rPr>
          <w:rFonts w:ascii="仿宋" w:eastAsia="仿宋" w:hAnsi="仿宋" w:hint="eastAsia"/>
          <w:sz w:val="32"/>
          <w:szCs w:val="32"/>
        </w:rPr>
        <w:t>，</w:t>
      </w:r>
      <w:r w:rsidR="00E25D08" w:rsidRPr="000D0AB6">
        <w:rPr>
          <w:rFonts w:ascii="仿宋" w:eastAsia="仿宋" w:hAnsi="仿宋" w:hint="eastAsia"/>
          <w:color w:val="000000"/>
          <w:sz w:val="32"/>
          <w:szCs w:val="32"/>
        </w:rPr>
        <w:t>改造农村危旧房</w:t>
      </w:r>
      <w:r w:rsidR="00E25D08" w:rsidRPr="000D0AB6">
        <w:rPr>
          <w:rFonts w:ascii="仿宋" w:eastAsia="仿宋" w:hAnsi="仿宋"/>
          <w:color w:val="000000"/>
          <w:sz w:val="32"/>
          <w:szCs w:val="32"/>
        </w:rPr>
        <w:t>1065</w:t>
      </w:r>
      <w:r w:rsidR="00E25D08" w:rsidRPr="000D0AB6">
        <w:rPr>
          <w:rFonts w:ascii="仿宋" w:eastAsia="仿宋" w:hAnsi="仿宋" w:hint="eastAsia"/>
          <w:color w:val="000000"/>
          <w:sz w:val="32"/>
          <w:szCs w:val="32"/>
        </w:rPr>
        <w:t>户，完成渔民上岸安居工程</w:t>
      </w:r>
      <w:r w:rsidR="00E25D08" w:rsidRPr="000D0AB6">
        <w:rPr>
          <w:rFonts w:ascii="仿宋" w:eastAsia="仿宋" w:hAnsi="仿宋"/>
          <w:color w:val="000000"/>
          <w:sz w:val="32"/>
          <w:szCs w:val="32"/>
        </w:rPr>
        <w:t>327</w:t>
      </w:r>
      <w:r w:rsidR="00E25D08" w:rsidRPr="000D0AB6">
        <w:rPr>
          <w:rFonts w:ascii="仿宋" w:eastAsia="仿宋" w:hAnsi="仿宋" w:hint="eastAsia"/>
          <w:color w:val="000000"/>
          <w:sz w:val="32"/>
          <w:szCs w:val="32"/>
        </w:rPr>
        <w:t>户。</w:t>
      </w:r>
      <w:r w:rsidR="00E25D08">
        <w:rPr>
          <w:rFonts w:ascii="仿宋_GB2312" w:eastAsia="仿宋_GB2312" w:hAnsi="Calibri" w:cs="Times New Roman" w:hint="eastAsia"/>
          <w:sz w:val="32"/>
          <w:szCs w:val="32"/>
        </w:rPr>
        <w:t>推进</w:t>
      </w:r>
      <w:r w:rsidR="00DA65D2">
        <w:rPr>
          <w:rFonts w:ascii="仿宋_GB2312" w:eastAsia="仿宋_GB2312" w:hAnsi="Calibri" w:cs="Times New Roman" w:hint="eastAsia"/>
          <w:sz w:val="32"/>
          <w:szCs w:val="32"/>
        </w:rPr>
        <w:t>保障房建设，</w:t>
      </w:r>
      <w:r w:rsidR="00983578" w:rsidRPr="00DA65D2">
        <w:rPr>
          <w:rFonts w:ascii="仿宋_GB2312" w:eastAsia="仿宋_GB2312" w:hAnsi="Calibri" w:cs="Times New Roman" w:hint="eastAsia"/>
          <w:sz w:val="32"/>
          <w:szCs w:val="32"/>
        </w:rPr>
        <w:t>新增国开行、农发行等政策性贷款133亿元</w:t>
      </w:r>
      <w:r w:rsidR="00DA65D2">
        <w:rPr>
          <w:rFonts w:ascii="仿宋_GB2312" w:eastAsia="仿宋_GB2312" w:hAnsi="Calibri" w:cs="Times New Roman" w:hint="eastAsia"/>
          <w:sz w:val="32"/>
          <w:szCs w:val="32"/>
        </w:rPr>
        <w:t>，</w:t>
      </w:r>
      <w:r w:rsidR="00DA65D2" w:rsidRPr="00DA65D2">
        <w:rPr>
          <w:rFonts w:ascii="仿宋_GB2312" w:eastAsia="仿宋_GB2312" w:hAnsi="Calibri" w:cs="Times New Roman" w:hint="eastAsia"/>
          <w:sz w:val="32"/>
          <w:szCs w:val="32"/>
        </w:rPr>
        <w:t>新开工</w:t>
      </w:r>
      <w:r w:rsidR="00983578" w:rsidRPr="00DA65D2">
        <w:rPr>
          <w:rFonts w:ascii="仿宋_GB2312" w:eastAsia="仿宋_GB2312" w:hAnsi="Calibri" w:cs="Times New Roman" w:hint="eastAsia"/>
          <w:sz w:val="32"/>
          <w:szCs w:val="32"/>
        </w:rPr>
        <w:lastRenderedPageBreak/>
        <w:t>保障性安居工程11500套，基本建成11000套。</w:t>
      </w:r>
      <w:r w:rsidR="00E25D08">
        <w:rPr>
          <w:rFonts w:ascii="仿宋_GB2312" w:eastAsia="仿宋_GB2312" w:hAnsi="Calibri" w:cs="Times New Roman" w:hint="eastAsia"/>
          <w:sz w:val="32"/>
          <w:szCs w:val="32"/>
        </w:rPr>
        <w:t>加快实施公用事业，</w:t>
      </w:r>
      <w:r w:rsidR="00983578" w:rsidRPr="000D0AB6">
        <w:rPr>
          <w:rFonts w:ascii="仿宋" w:eastAsia="仿宋" w:hAnsi="仿宋" w:hint="eastAsia"/>
          <w:sz w:val="32"/>
          <w:szCs w:val="32"/>
        </w:rPr>
        <w:t>蔷薇湖输水泵站调试运行</w:t>
      </w:r>
      <w:r w:rsidR="00983578" w:rsidRPr="000D0AB6">
        <w:rPr>
          <w:rFonts w:ascii="仿宋" w:eastAsia="仿宋" w:hAnsi="仿宋" w:cs="宋体" w:hint="eastAsia"/>
          <w:kern w:val="0"/>
          <w:sz w:val="32"/>
          <w:szCs w:val="32"/>
        </w:rPr>
        <w:t>，</w:t>
      </w:r>
      <w:r w:rsidR="00983578" w:rsidRPr="000D0AB6">
        <w:rPr>
          <w:rFonts w:ascii="仿宋" w:eastAsia="仿宋" w:hAnsi="仿宋" w:hint="eastAsia"/>
          <w:color w:val="000000"/>
          <w:sz w:val="32"/>
          <w:szCs w:val="32"/>
        </w:rPr>
        <w:t>海州水厂深度处理加快建设，大浦、墟沟污水处理厂提标改造快速实施</w:t>
      </w:r>
      <w:r w:rsidR="00983578" w:rsidRPr="000D0AB6">
        <w:rPr>
          <w:rFonts w:ascii="仿宋" w:eastAsia="仿宋" w:hAnsi="仿宋" w:cs="宋体" w:hint="eastAsia"/>
          <w:kern w:val="0"/>
          <w:sz w:val="32"/>
          <w:szCs w:val="32"/>
        </w:rPr>
        <w:t>；新建供水、污水、燃气等各类管网</w:t>
      </w:r>
      <w:r w:rsidR="00983578">
        <w:rPr>
          <w:rFonts w:ascii="仿宋" w:eastAsia="仿宋" w:hAnsi="仿宋" w:cs="宋体" w:hint="eastAsia"/>
          <w:kern w:val="0"/>
          <w:sz w:val="32"/>
          <w:szCs w:val="32"/>
        </w:rPr>
        <w:t>60</w:t>
      </w:r>
      <w:r w:rsidR="00983578" w:rsidRPr="000D0AB6">
        <w:rPr>
          <w:rFonts w:ascii="仿宋" w:eastAsia="仿宋" w:hAnsi="仿宋" w:cs="宋体" w:hint="eastAsia"/>
          <w:kern w:val="0"/>
          <w:sz w:val="32"/>
          <w:szCs w:val="32"/>
        </w:rPr>
        <w:t>公里，新增燃气</w:t>
      </w:r>
      <w:r w:rsidR="00983578" w:rsidRPr="000D0AB6">
        <w:rPr>
          <w:rFonts w:ascii="仿宋" w:eastAsia="仿宋" w:hAnsi="仿宋" w:hint="eastAsia"/>
          <w:sz w:val="32"/>
          <w:szCs w:val="32"/>
        </w:rPr>
        <w:t>10800户</w:t>
      </w:r>
      <w:r w:rsidR="00983578" w:rsidRPr="000D0AB6">
        <w:rPr>
          <w:rFonts w:ascii="仿宋" w:eastAsia="仿宋" w:hAnsi="仿宋" w:cs="宋体" w:hint="eastAsia"/>
          <w:kern w:val="0"/>
          <w:sz w:val="32"/>
          <w:szCs w:val="32"/>
        </w:rPr>
        <w:t>。城市供水普及率达100%，城市污水处理率达</w:t>
      </w:r>
      <w:r w:rsidR="00983578">
        <w:rPr>
          <w:rFonts w:ascii="仿宋" w:eastAsia="仿宋" w:hAnsi="仿宋" w:cs="宋体" w:hint="eastAsia"/>
          <w:kern w:val="0"/>
          <w:sz w:val="32"/>
          <w:szCs w:val="32"/>
        </w:rPr>
        <w:t>92</w:t>
      </w:r>
      <w:r w:rsidR="00983578" w:rsidRPr="000D0AB6">
        <w:rPr>
          <w:rFonts w:ascii="仿宋" w:eastAsia="仿宋" w:hAnsi="仿宋" w:cs="宋体" w:hint="eastAsia"/>
          <w:kern w:val="0"/>
          <w:sz w:val="32"/>
          <w:szCs w:val="32"/>
        </w:rPr>
        <w:t>%，燃气气化率达99.98%。</w:t>
      </w:r>
    </w:p>
    <w:p w:rsidR="00E60A3A" w:rsidRPr="00E60A3A" w:rsidRDefault="00E60A3A" w:rsidP="009262F8">
      <w:pPr>
        <w:widowControl/>
        <w:shd w:val="clear" w:color="auto" w:fill="FFFFFF"/>
        <w:spacing w:before="100" w:beforeAutospacing="1" w:after="100" w:afterAutospacing="1" w:line="560" w:lineRule="exact"/>
        <w:ind w:firstLineChars="200" w:firstLine="640"/>
        <w:rPr>
          <w:rFonts w:ascii="仿宋_GB2312" w:eastAsia="仿宋_GB2312" w:hAnsi="Calibri" w:cs="Times New Roman"/>
          <w:sz w:val="32"/>
          <w:szCs w:val="32"/>
        </w:rPr>
      </w:pPr>
      <w:r w:rsidRPr="00E60A3A">
        <w:rPr>
          <w:rFonts w:ascii="楷体_GB2312" w:eastAsia="楷体_GB2312" w:hAnsi="宋体" w:cs="宋体" w:hint="eastAsia"/>
          <w:color w:val="000000"/>
          <w:kern w:val="0"/>
          <w:sz w:val="32"/>
          <w:szCs w:val="32"/>
        </w:rPr>
        <w:t>节能减排扎实推进。</w:t>
      </w:r>
      <w:r w:rsidRPr="00E60A3A">
        <w:rPr>
          <w:rFonts w:ascii="仿宋_GB2312" w:eastAsia="仿宋_GB2312" w:hAnsi="Calibri" w:cs="Times New Roman" w:hint="eastAsia"/>
          <w:sz w:val="32"/>
          <w:szCs w:val="32"/>
        </w:rPr>
        <w:t>积极推进生产方式绿色化转型，加强重点领域节能减排，万元地区生产总值能耗降低率及化学需氧量、二氧化硫、氨氮、氮氧化物等四类主要污染物排放削减均完成目标任务。</w:t>
      </w:r>
    </w:p>
    <w:p w:rsidR="00B74B05" w:rsidRPr="00E60A3A" w:rsidRDefault="00B74B05" w:rsidP="009262F8">
      <w:pPr>
        <w:widowControl/>
        <w:shd w:val="clear" w:color="auto" w:fill="FFFFFF"/>
        <w:spacing w:before="100" w:beforeAutospacing="1" w:after="100" w:afterAutospacing="1" w:line="560" w:lineRule="exact"/>
        <w:ind w:firstLineChars="200" w:firstLine="640"/>
        <w:rPr>
          <w:rFonts w:ascii="宋体" w:eastAsia="宋体" w:hAnsi="宋体" w:cs="宋体"/>
          <w:kern w:val="0"/>
          <w:sz w:val="24"/>
          <w:szCs w:val="24"/>
        </w:rPr>
      </w:pPr>
      <w:r w:rsidRPr="00E60A3A">
        <w:rPr>
          <w:rFonts w:ascii="Times New Roman" w:eastAsia="黑体" w:hAnsi="黑体" w:cs="宋体" w:hint="eastAsia"/>
          <w:kern w:val="0"/>
          <w:sz w:val="32"/>
          <w:szCs w:val="32"/>
        </w:rPr>
        <w:t>十二、人口</w:t>
      </w:r>
      <w:r w:rsidR="00271276" w:rsidRPr="00E60A3A">
        <w:rPr>
          <w:rFonts w:ascii="Times New Roman" w:eastAsia="黑体" w:hAnsi="黑体" w:cs="宋体" w:hint="eastAsia"/>
          <w:kern w:val="0"/>
          <w:sz w:val="32"/>
          <w:szCs w:val="32"/>
        </w:rPr>
        <w:t>、</w:t>
      </w:r>
      <w:r w:rsidRPr="00E60A3A">
        <w:rPr>
          <w:rFonts w:ascii="Times New Roman" w:eastAsia="黑体" w:hAnsi="黑体" w:cs="宋体" w:hint="eastAsia"/>
          <w:kern w:val="0"/>
          <w:sz w:val="32"/>
          <w:szCs w:val="32"/>
        </w:rPr>
        <w:t>人民生活</w:t>
      </w:r>
      <w:r w:rsidR="00271276" w:rsidRPr="00E60A3A">
        <w:rPr>
          <w:rFonts w:ascii="Times New Roman" w:eastAsia="黑体" w:hAnsi="黑体" w:cs="宋体" w:hint="eastAsia"/>
          <w:kern w:val="0"/>
          <w:sz w:val="32"/>
          <w:szCs w:val="32"/>
        </w:rPr>
        <w:t>和社会保障</w:t>
      </w:r>
    </w:p>
    <w:p w:rsidR="00271276" w:rsidRPr="00DB3304" w:rsidRDefault="00E60A3A" w:rsidP="009262F8">
      <w:pPr>
        <w:widowControl/>
        <w:shd w:val="clear" w:color="auto" w:fill="FFFFFF"/>
        <w:adjustRightInd w:val="0"/>
        <w:spacing w:before="100" w:beforeAutospacing="1" w:after="100" w:afterAutospacing="1" w:line="560" w:lineRule="exact"/>
        <w:ind w:firstLineChars="213" w:firstLine="682"/>
        <w:rPr>
          <w:rFonts w:ascii="宋体" w:eastAsia="宋体" w:hAnsi="宋体" w:cs="宋体"/>
          <w:color w:val="FF0000"/>
          <w:kern w:val="0"/>
          <w:sz w:val="24"/>
          <w:szCs w:val="24"/>
        </w:rPr>
      </w:pPr>
      <w:r w:rsidRPr="00E60A3A">
        <w:rPr>
          <w:rFonts w:ascii="楷体_GB2312" w:eastAsia="楷体_GB2312" w:hAnsi="宋体" w:cs="宋体" w:hint="eastAsia"/>
          <w:kern w:val="0"/>
          <w:sz w:val="32"/>
          <w:szCs w:val="32"/>
        </w:rPr>
        <w:t>人口</w:t>
      </w:r>
      <w:r w:rsidR="005D4621">
        <w:rPr>
          <w:rFonts w:ascii="楷体_GB2312" w:eastAsia="楷体_GB2312" w:hAnsi="宋体" w:cs="宋体" w:hint="eastAsia"/>
          <w:kern w:val="0"/>
          <w:sz w:val="32"/>
          <w:szCs w:val="32"/>
        </w:rPr>
        <w:t>总量</w:t>
      </w:r>
      <w:r w:rsidR="00B23B69">
        <w:rPr>
          <w:rFonts w:ascii="楷体_GB2312" w:eastAsia="楷体_GB2312" w:hAnsi="宋体" w:cs="宋体" w:hint="eastAsia"/>
          <w:kern w:val="0"/>
          <w:sz w:val="32"/>
          <w:szCs w:val="32"/>
        </w:rPr>
        <w:t>缓慢增</w:t>
      </w:r>
      <w:r w:rsidR="005D4621">
        <w:rPr>
          <w:rFonts w:ascii="楷体_GB2312" w:eastAsia="楷体_GB2312" w:hAnsi="宋体" w:cs="宋体" w:hint="eastAsia"/>
          <w:kern w:val="0"/>
          <w:sz w:val="32"/>
          <w:szCs w:val="32"/>
        </w:rPr>
        <w:t>长</w:t>
      </w:r>
      <w:r w:rsidRPr="00E60A3A">
        <w:rPr>
          <w:rFonts w:ascii="楷体_GB2312" w:eastAsia="楷体_GB2312" w:hAnsi="宋体" w:cs="宋体" w:hint="eastAsia"/>
          <w:kern w:val="0"/>
          <w:sz w:val="32"/>
          <w:szCs w:val="32"/>
        </w:rPr>
        <w:t>。</w:t>
      </w:r>
      <w:r w:rsidRPr="00B23B69">
        <w:rPr>
          <w:rFonts w:ascii="仿宋_GB2312" w:eastAsia="仿宋_GB2312" w:hAnsi="Calibri" w:cs="Times New Roman" w:hint="eastAsia"/>
          <w:sz w:val="32"/>
          <w:szCs w:val="32"/>
        </w:rPr>
        <w:t>年末全市户籍人口</w:t>
      </w:r>
      <w:r w:rsidRPr="00B23B69">
        <w:rPr>
          <w:rFonts w:ascii="仿宋_GB2312" w:eastAsia="仿宋_GB2312" w:hAnsi="Calibri" w:cs="Times New Roman"/>
          <w:sz w:val="32"/>
          <w:szCs w:val="32"/>
        </w:rPr>
        <w:t>53</w:t>
      </w:r>
      <w:r w:rsidRPr="00B23B69">
        <w:rPr>
          <w:rFonts w:ascii="仿宋_GB2312" w:eastAsia="仿宋_GB2312" w:hAnsi="Calibri" w:cs="Times New Roman" w:hint="eastAsia"/>
          <w:sz w:val="32"/>
          <w:szCs w:val="32"/>
        </w:rPr>
        <w:t>3.99万人，比上年末增加3.43万人，</w:t>
      </w:r>
      <w:r w:rsidR="00B23B69" w:rsidRPr="00B23B69">
        <w:rPr>
          <w:rFonts w:ascii="仿宋_GB2312" w:eastAsia="仿宋_GB2312" w:hAnsi="Calibri" w:cs="Times New Roman" w:hint="eastAsia"/>
          <w:sz w:val="32"/>
          <w:szCs w:val="32"/>
        </w:rPr>
        <w:t>增长0.6%。</w:t>
      </w:r>
      <w:r w:rsidRPr="00B23B69">
        <w:rPr>
          <w:rFonts w:ascii="仿宋_GB2312" w:eastAsia="仿宋_GB2312" w:hAnsi="Calibri" w:cs="Times New Roman" w:hint="eastAsia"/>
          <w:sz w:val="32"/>
          <w:szCs w:val="32"/>
        </w:rPr>
        <w:t>其中</w:t>
      </w:r>
      <w:r w:rsidR="00B23B69" w:rsidRPr="00B23B69">
        <w:rPr>
          <w:rFonts w:ascii="仿宋_GB2312" w:eastAsia="仿宋_GB2312" w:hAnsi="Calibri" w:cs="Times New Roman" w:hint="eastAsia"/>
          <w:sz w:val="32"/>
          <w:szCs w:val="32"/>
        </w:rPr>
        <w:t>，</w:t>
      </w:r>
      <w:r w:rsidRPr="00B23B69">
        <w:rPr>
          <w:rFonts w:ascii="仿宋_GB2312" w:eastAsia="仿宋_GB2312" w:hAnsi="Calibri" w:cs="Times New Roman" w:hint="eastAsia"/>
          <w:sz w:val="32"/>
          <w:szCs w:val="32"/>
        </w:rPr>
        <w:t>市区</w:t>
      </w:r>
      <w:r w:rsidRPr="00B23B69">
        <w:rPr>
          <w:rFonts w:ascii="仿宋_GB2312" w:eastAsia="仿宋_GB2312" w:hAnsi="Calibri" w:cs="Times New Roman"/>
          <w:sz w:val="32"/>
          <w:szCs w:val="32"/>
        </w:rPr>
        <w:t>22</w:t>
      </w:r>
      <w:r w:rsidRPr="00B23B69">
        <w:rPr>
          <w:rFonts w:ascii="仿宋_GB2312" w:eastAsia="仿宋_GB2312" w:hAnsi="Calibri" w:cs="Times New Roman" w:hint="eastAsia"/>
          <w:sz w:val="32"/>
          <w:szCs w:val="32"/>
        </w:rPr>
        <w:t>2.69万人。</w:t>
      </w:r>
      <w:r w:rsidRPr="00242775">
        <w:rPr>
          <w:rFonts w:ascii="仿宋_GB2312" w:eastAsia="仿宋_GB2312" w:hAnsi="Calibri" w:cs="Times New Roman" w:hint="eastAsia"/>
          <w:sz w:val="32"/>
          <w:szCs w:val="32"/>
        </w:rPr>
        <w:t>常住人口449.64万人，比上年</w:t>
      </w:r>
      <w:r w:rsidR="00B23B69">
        <w:rPr>
          <w:rFonts w:ascii="仿宋_GB2312" w:eastAsia="仿宋_GB2312" w:hAnsi="Calibri" w:cs="Times New Roman" w:hint="eastAsia"/>
          <w:sz w:val="32"/>
          <w:szCs w:val="32"/>
        </w:rPr>
        <w:t>末</w:t>
      </w:r>
      <w:r w:rsidRPr="00242775">
        <w:rPr>
          <w:rFonts w:ascii="仿宋_GB2312" w:eastAsia="仿宋_GB2312" w:hAnsi="Calibri" w:cs="Times New Roman" w:hint="eastAsia"/>
          <w:sz w:val="32"/>
          <w:szCs w:val="32"/>
        </w:rPr>
        <w:t>增加2.27万人，增长0.5%。其中，城镇常住人口270.68万人，比上年增加8.07万人，增长3.07%。常住人口城镇化率达60.2%，比上年提高1.5个百分点</w:t>
      </w:r>
      <w:r>
        <w:rPr>
          <w:rFonts w:ascii="仿宋_GB2312" w:eastAsia="仿宋_GB2312" w:hAnsi="Calibri" w:cs="Times New Roman" w:hint="eastAsia"/>
          <w:sz w:val="32"/>
          <w:szCs w:val="32"/>
        </w:rPr>
        <w:t>。</w:t>
      </w:r>
    </w:p>
    <w:p w:rsidR="00B74B05" w:rsidRDefault="00B74B05" w:rsidP="009262F8">
      <w:pPr>
        <w:widowControl/>
        <w:shd w:val="clear" w:color="auto" w:fill="FFFFFF"/>
        <w:adjustRightInd w:val="0"/>
        <w:spacing w:before="100" w:beforeAutospacing="1" w:after="100" w:afterAutospacing="1" w:line="560" w:lineRule="exact"/>
        <w:ind w:firstLineChars="213" w:firstLine="682"/>
        <w:rPr>
          <w:rFonts w:ascii="仿宋_GB2312" w:eastAsia="仿宋_GB2312" w:hAnsi="Calibri" w:cs="Times New Roman"/>
          <w:sz w:val="32"/>
          <w:szCs w:val="32"/>
        </w:rPr>
      </w:pPr>
      <w:r w:rsidRPr="00B23B69">
        <w:rPr>
          <w:rFonts w:ascii="楷体_GB2312" w:eastAsia="楷体_GB2312" w:hAnsi="宋体" w:cs="宋体" w:hint="eastAsia"/>
          <w:kern w:val="0"/>
          <w:sz w:val="32"/>
          <w:szCs w:val="32"/>
        </w:rPr>
        <w:t>居民收入</w:t>
      </w:r>
      <w:r w:rsidR="00605EED" w:rsidRPr="00B23B69">
        <w:rPr>
          <w:rFonts w:ascii="楷体_GB2312" w:eastAsia="楷体_GB2312" w:hAnsi="宋体" w:cs="宋体" w:hint="eastAsia"/>
          <w:kern w:val="0"/>
          <w:sz w:val="32"/>
          <w:szCs w:val="32"/>
        </w:rPr>
        <w:t>较快</w:t>
      </w:r>
      <w:r w:rsidRPr="00B23B69">
        <w:rPr>
          <w:rFonts w:ascii="楷体_GB2312" w:eastAsia="楷体_GB2312" w:hAnsi="宋体" w:cs="宋体" w:hint="eastAsia"/>
          <w:kern w:val="0"/>
          <w:sz w:val="32"/>
          <w:szCs w:val="32"/>
        </w:rPr>
        <w:t>增长。</w:t>
      </w:r>
      <w:r w:rsidR="00605EED" w:rsidRPr="00605EED">
        <w:rPr>
          <w:rFonts w:ascii="仿宋_GB2312" w:eastAsia="仿宋_GB2312" w:hAnsi="Calibri" w:cs="Times New Roman" w:hint="eastAsia"/>
          <w:sz w:val="32"/>
          <w:szCs w:val="32"/>
        </w:rPr>
        <w:t>根据城乡一体化住户抽样调查，全年</w:t>
      </w:r>
      <w:r w:rsidR="00B23B69" w:rsidRPr="00B23B69">
        <w:rPr>
          <w:rFonts w:ascii="仿宋_GB2312" w:eastAsia="仿宋_GB2312" w:hAnsi="Calibri" w:cs="Times New Roman" w:hint="eastAsia"/>
          <w:sz w:val="32"/>
          <w:szCs w:val="32"/>
        </w:rPr>
        <w:t>全市居民人均可支配收入为21230元，增长9.3%。城镇常住居民人均可支配收入27853元，增长8.3%</w:t>
      </w:r>
      <w:r w:rsidRPr="00605EED">
        <w:rPr>
          <w:rFonts w:ascii="仿宋_GB2312" w:eastAsia="仿宋_GB2312" w:hAnsi="Calibri" w:cs="Times New Roman" w:hint="eastAsia"/>
          <w:sz w:val="32"/>
          <w:szCs w:val="32"/>
        </w:rPr>
        <w:t>。其中</w:t>
      </w:r>
      <w:r w:rsidR="00605EED" w:rsidRPr="00605EED">
        <w:rPr>
          <w:rFonts w:ascii="仿宋_GB2312" w:eastAsia="仿宋_GB2312" w:hAnsi="Calibri" w:cs="Times New Roman" w:hint="eastAsia"/>
          <w:sz w:val="32"/>
          <w:szCs w:val="32"/>
        </w:rPr>
        <w:t>，</w:t>
      </w:r>
      <w:r w:rsidRPr="00605EED">
        <w:rPr>
          <w:rFonts w:ascii="仿宋_GB2312" w:eastAsia="仿宋_GB2312" w:hAnsi="Calibri" w:cs="Times New Roman" w:hint="eastAsia"/>
          <w:sz w:val="32"/>
          <w:szCs w:val="32"/>
        </w:rPr>
        <w:t>工资性收入</w:t>
      </w:r>
      <w:r w:rsidR="00605EED" w:rsidRPr="00605EED">
        <w:rPr>
          <w:rFonts w:ascii="仿宋_GB2312" w:eastAsia="仿宋_GB2312" w:hAnsi="Calibri" w:cs="Times New Roman" w:hint="eastAsia"/>
          <w:sz w:val="32"/>
          <w:szCs w:val="32"/>
        </w:rPr>
        <w:t>15195元，增长8.4%</w:t>
      </w:r>
      <w:r w:rsidRPr="00605EED">
        <w:rPr>
          <w:rFonts w:ascii="仿宋_GB2312" w:eastAsia="仿宋_GB2312" w:hAnsi="Calibri" w:cs="Times New Roman" w:hint="eastAsia"/>
          <w:sz w:val="32"/>
          <w:szCs w:val="32"/>
        </w:rPr>
        <w:t>；经营净收入</w:t>
      </w:r>
      <w:r w:rsidR="00605EED" w:rsidRPr="00605EED">
        <w:rPr>
          <w:rFonts w:ascii="仿宋_GB2312" w:eastAsia="仿宋_GB2312" w:hAnsi="Calibri" w:cs="Times New Roman" w:hint="eastAsia"/>
          <w:sz w:val="32"/>
          <w:szCs w:val="32"/>
        </w:rPr>
        <w:t>5458元，增长6.5%</w:t>
      </w:r>
      <w:r w:rsidRPr="00605EED">
        <w:rPr>
          <w:rFonts w:ascii="仿宋_GB2312" w:eastAsia="仿宋_GB2312" w:hAnsi="Calibri" w:cs="Times New Roman" w:hint="eastAsia"/>
          <w:sz w:val="32"/>
          <w:szCs w:val="32"/>
        </w:rPr>
        <w:t>；财产性收入</w:t>
      </w:r>
      <w:r w:rsidR="00605EED" w:rsidRPr="00605EED">
        <w:rPr>
          <w:rFonts w:ascii="仿宋_GB2312" w:eastAsia="仿宋_GB2312" w:hAnsi="Calibri" w:cs="Times New Roman" w:hint="eastAsia"/>
          <w:sz w:val="32"/>
          <w:szCs w:val="32"/>
        </w:rPr>
        <w:t>2316元，增长13.9%</w:t>
      </w:r>
      <w:r w:rsidRPr="00605EED">
        <w:rPr>
          <w:rFonts w:ascii="仿宋_GB2312" w:eastAsia="仿宋_GB2312" w:hAnsi="Calibri" w:cs="Times New Roman" w:hint="eastAsia"/>
          <w:sz w:val="32"/>
          <w:szCs w:val="32"/>
        </w:rPr>
        <w:t>；转移性收入</w:t>
      </w:r>
      <w:r w:rsidR="00605EED" w:rsidRPr="00605EED">
        <w:rPr>
          <w:rFonts w:ascii="仿宋_GB2312" w:eastAsia="仿宋_GB2312" w:hAnsi="Calibri" w:cs="Times New Roman" w:hint="eastAsia"/>
          <w:sz w:val="32"/>
          <w:szCs w:val="32"/>
        </w:rPr>
        <w:t>4884元，增</w:t>
      </w:r>
      <w:r w:rsidR="00605EED" w:rsidRPr="00605EED">
        <w:rPr>
          <w:rFonts w:ascii="仿宋_GB2312" w:eastAsia="仿宋_GB2312" w:hAnsi="Calibri" w:cs="Times New Roman" w:hint="eastAsia"/>
          <w:sz w:val="32"/>
          <w:szCs w:val="32"/>
        </w:rPr>
        <w:lastRenderedPageBreak/>
        <w:t>长7.3%</w:t>
      </w:r>
      <w:r w:rsidRPr="00605EED">
        <w:rPr>
          <w:rFonts w:ascii="仿宋_GB2312" w:eastAsia="仿宋_GB2312" w:hAnsi="Calibri" w:cs="Times New Roman" w:hint="eastAsia"/>
          <w:sz w:val="32"/>
          <w:szCs w:val="32"/>
        </w:rPr>
        <w:t>。城镇居民人均消费</w:t>
      </w:r>
      <w:r w:rsidR="00605EED" w:rsidRPr="00605EED">
        <w:rPr>
          <w:rFonts w:ascii="仿宋_GB2312" w:eastAsia="仿宋_GB2312" w:hAnsi="Calibri" w:cs="Times New Roman" w:hint="eastAsia"/>
          <w:sz w:val="32"/>
          <w:szCs w:val="32"/>
        </w:rPr>
        <w:t>18344元，增长6.3%</w:t>
      </w:r>
      <w:r w:rsidRPr="00605EED">
        <w:rPr>
          <w:rFonts w:ascii="仿宋_GB2312" w:eastAsia="仿宋_GB2312" w:hAnsi="Calibri" w:cs="Times New Roman" w:hint="eastAsia"/>
          <w:sz w:val="32"/>
          <w:szCs w:val="32"/>
        </w:rPr>
        <w:t>。</w:t>
      </w:r>
      <w:r w:rsidR="00B23B69" w:rsidRPr="00B23B69">
        <w:rPr>
          <w:rFonts w:ascii="仿宋_GB2312" w:eastAsia="仿宋_GB2312" w:hAnsi="Calibri" w:cs="Times New Roman" w:hint="eastAsia"/>
          <w:sz w:val="32"/>
          <w:szCs w:val="32"/>
        </w:rPr>
        <w:t>农村常住居民人均可支配收入为13932元,增长9.0%。</w:t>
      </w:r>
      <w:r w:rsidRPr="00605EED">
        <w:rPr>
          <w:rFonts w:ascii="仿宋_GB2312" w:eastAsia="仿宋_GB2312" w:hAnsi="Calibri" w:cs="Times New Roman" w:hint="eastAsia"/>
          <w:sz w:val="32"/>
          <w:szCs w:val="32"/>
        </w:rPr>
        <w:t>其中</w:t>
      </w:r>
      <w:r w:rsidR="00605EED" w:rsidRPr="00605EED">
        <w:rPr>
          <w:rFonts w:ascii="仿宋_GB2312" w:eastAsia="仿宋_GB2312" w:hAnsi="Calibri" w:cs="Times New Roman" w:hint="eastAsia"/>
          <w:sz w:val="32"/>
          <w:szCs w:val="32"/>
        </w:rPr>
        <w:t>，</w:t>
      </w:r>
      <w:r w:rsidRPr="00605EED">
        <w:rPr>
          <w:rFonts w:ascii="仿宋_GB2312" w:eastAsia="仿宋_GB2312" w:hAnsi="Calibri" w:cs="Times New Roman" w:hint="eastAsia"/>
          <w:sz w:val="32"/>
          <w:szCs w:val="32"/>
        </w:rPr>
        <w:t>工资性收入</w:t>
      </w:r>
      <w:r w:rsidR="00605EED" w:rsidRPr="00605EED">
        <w:rPr>
          <w:rFonts w:ascii="仿宋_GB2312" w:eastAsia="仿宋_GB2312" w:hAnsi="Calibri" w:cs="Times New Roman" w:hint="eastAsia"/>
          <w:sz w:val="32"/>
          <w:szCs w:val="32"/>
        </w:rPr>
        <w:t>6462元，增长9.4%</w:t>
      </w:r>
      <w:r w:rsidRPr="00605EED">
        <w:rPr>
          <w:rFonts w:ascii="仿宋_GB2312" w:eastAsia="仿宋_GB2312" w:hAnsi="Calibri" w:cs="Times New Roman" w:hint="eastAsia"/>
          <w:sz w:val="32"/>
          <w:szCs w:val="32"/>
        </w:rPr>
        <w:t>；家庭经营收入</w:t>
      </w:r>
      <w:r w:rsidR="00605EED" w:rsidRPr="00605EED">
        <w:rPr>
          <w:rFonts w:ascii="仿宋_GB2312" w:eastAsia="仿宋_GB2312" w:hAnsi="Calibri" w:cs="Times New Roman" w:hint="eastAsia"/>
          <w:sz w:val="32"/>
          <w:szCs w:val="32"/>
        </w:rPr>
        <w:t>4854元，增长7.2%</w:t>
      </w:r>
      <w:r w:rsidRPr="00605EED">
        <w:rPr>
          <w:rFonts w:ascii="仿宋_GB2312" w:eastAsia="仿宋_GB2312" w:hAnsi="Calibri" w:cs="Times New Roman" w:hint="eastAsia"/>
          <w:sz w:val="32"/>
          <w:szCs w:val="32"/>
        </w:rPr>
        <w:t>；财产性收入</w:t>
      </w:r>
      <w:r w:rsidR="00605EED" w:rsidRPr="00605EED">
        <w:rPr>
          <w:rFonts w:ascii="仿宋_GB2312" w:eastAsia="仿宋_GB2312" w:hAnsi="Calibri" w:cs="Times New Roman" w:hint="eastAsia"/>
          <w:sz w:val="32"/>
          <w:szCs w:val="32"/>
        </w:rPr>
        <w:t>190元，增长15.8%</w:t>
      </w:r>
      <w:r w:rsidRPr="00605EED">
        <w:rPr>
          <w:rFonts w:ascii="仿宋_GB2312" w:eastAsia="仿宋_GB2312" w:hAnsi="Calibri" w:cs="Times New Roman" w:hint="eastAsia"/>
          <w:sz w:val="32"/>
          <w:szCs w:val="32"/>
        </w:rPr>
        <w:t>；转移性收入</w:t>
      </w:r>
      <w:r w:rsidR="00605EED" w:rsidRPr="00605EED">
        <w:rPr>
          <w:rFonts w:ascii="仿宋_GB2312" w:eastAsia="仿宋_GB2312" w:hAnsi="Calibri" w:cs="Times New Roman" w:hint="eastAsia"/>
          <w:sz w:val="32"/>
          <w:szCs w:val="32"/>
        </w:rPr>
        <w:t>2425元，增长11.4%。</w:t>
      </w:r>
      <w:r w:rsidRPr="00605EED">
        <w:rPr>
          <w:rFonts w:ascii="仿宋_GB2312" w:eastAsia="仿宋_GB2312" w:hAnsi="Calibri" w:cs="Times New Roman" w:hint="eastAsia"/>
          <w:sz w:val="32"/>
          <w:szCs w:val="32"/>
        </w:rPr>
        <w:t>农村居民人均消费支出</w:t>
      </w:r>
      <w:r w:rsidR="00605EED" w:rsidRPr="00605EED">
        <w:rPr>
          <w:rFonts w:ascii="仿宋_GB2312" w:eastAsia="仿宋_GB2312" w:hAnsi="Calibri" w:cs="Times New Roman" w:hint="eastAsia"/>
          <w:sz w:val="32"/>
          <w:szCs w:val="32"/>
        </w:rPr>
        <w:t>10113元，增长11.7%</w:t>
      </w:r>
      <w:r w:rsidRPr="00605EED">
        <w:rPr>
          <w:rFonts w:ascii="仿宋_GB2312" w:eastAsia="仿宋_GB2312" w:hAnsi="Calibri" w:cs="Times New Roman" w:hint="eastAsia"/>
          <w:sz w:val="32"/>
          <w:szCs w:val="32"/>
        </w:rPr>
        <w:t>。</w:t>
      </w:r>
    </w:p>
    <w:p w:rsidR="00E179B4" w:rsidRPr="00605EED" w:rsidRDefault="00E179B4" w:rsidP="00CE7DB5">
      <w:pPr>
        <w:widowControl/>
        <w:shd w:val="clear" w:color="auto" w:fill="FFFFFF"/>
        <w:adjustRightInd w:val="0"/>
        <w:spacing w:before="100" w:beforeAutospacing="1" w:after="100" w:afterAutospacing="1"/>
        <w:jc w:val="center"/>
        <w:rPr>
          <w:rFonts w:ascii="仿宋_GB2312" w:eastAsia="仿宋_GB2312" w:hAnsi="Calibri" w:cs="Times New Roman"/>
          <w:sz w:val="32"/>
          <w:szCs w:val="32"/>
        </w:rPr>
      </w:pPr>
      <w:r w:rsidRPr="00E179B4">
        <w:rPr>
          <w:rFonts w:ascii="仿宋_GB2312" w:eastAsia="仿宋_GB2312" w:hAnsi="Calibri" w:cs="Times New Roman"/>
          <w:noProof/>
          <w:sz w:val="32"/>
          <w:szCs w:val="32"/>
        </w:rPr>
        <w:drawing>
          <wp:inline distT="0" distB="0" distL="0" distR="0">
            <wp:extent cx="4810125" cy="3095625"/>
            <wp:effectExtent l="19050" t="0" r="0" b="0"/>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1F02E7" w:rsidRDefault="00282A52" w:rsidP="009262F8">
      <w:pPr>
        <w:spacing w:line="560" w:lineRule="exact"/>
        <w:ind w:firstLine="645"/>
        <w:rPr>
          <w:rFonts w:ascii="仿宋" w:eastAsia="仿宋" w:hAnsi="仿宋" w:cs="Times New Roman"/>
          <w:sz w:val="32"/>
          <w:szCs w:val="32"/>
        </w:rPr>
      </w:pPr>
      <w:r w:rsidRPr="00282A52">
        <w:rPr>
          <w:rFonts w:ascii="楷体_GB2312" w:eastAsia="楷体_GB2312" w:hAnsi="宋体" w:cs="宋体" w:hint="eastAsia"/>
          <w:kern w:val="0"/>
          <w:sz w:val="32"/>
          <w:szCs w:val="32"/>
        </w:rPr>
        <w:t>保障水平稳步提升。</w:t>
      </w:r>
      <w:r w:rsidRPr="002B30D8">
        <w:rPr>
          <w:rFonts w:ascii="仿宋_GB2312" w:eastAsia="仿宋_GB2312" w:hAnsi="Calibri" w:cs="Times New Roman" w:hint="eastAsia"/>
          <w:sz w:val="32"/>
          <w:szCs w:val="32"/>
        </w:rPr>
        <w:t>出台《市实施〈工伤保险条例〉细则》和机关事业单位养老保险制度改革实施办法，</w:t>
      </w:r>
      <w:r w:rsidR="00035ED8" w:rsidRPr="002B30D8">
        <w:rPr>
          <w:rFonts w:ascii="仿宋_GB2312" w:eastAsia="仿宋_GB2312" w:hAnsi="Calibri" w:cs="Times New Roman" w:hint="eastAsia"/>
          <w:sz w:val="32"/>
          <w:szCs w:val="32"/>
        </w:rPr>
        <w:t>完成</w:t>
      </w:r>
      <w:r w:rsidRPr="002B30D8">
        <w:rPr>
          <w:rFonts w:ascii="仿宋_GB2312" w:eastAsia="仿宋_GB2312" w:hAnsi="Calibri" w:cs="Times New Roman" w:hint="eastAsia"/>
          <w:sz w:val="32"/>
          <w:szCs w:val="32"/>
        </w:rPr>
        <w:t>全民参保登记工作，市区五险费征缴总收入增长7.0%。企业退休人员基本养老金12连调，城乡居保基础养老金实现5连调，最低标准由每人每月105元提高到115元。</w:t>
      </w:r>
      <w:r w:rsidR="00F4156D" w:rsidRPr="00E80003">
        <w:rPr>
          <w:rFonts w:ascii="仿宋" w:eastAsia="仿宋" w:hAnsi="仿宋" w:cs="Times New Roman" w:hint="eastAsia"/>
          <w:sz w:val="32"/>
          <w:szCs w:val="32"/>
        </w:rPr>
        <w:t>新农合参合率为</w:t>
      </w:r>
      <w:r w:rsidR="00F4156D" w:rsidRPr="00E80003">
        <w:rPr>
          <w:rFonts w:ascii="仿宋" w:eastAsia="仿宋" w:hAnsi="仿宋" w:cs="Times New Roman"/>
          <w:sz w:val="32"/>
          <w:szCs w:val="32"/>
        </w:rPr>
        <w:t>99.7%</w:t>
      </w:r>
      <w:r w:rsidR="00F4156D" w:rsidRPr="00AA0CD2">
        <w:rPr>
          <w:rFonts w:ascii="仿宋" w:eastAsia="仿宋" w:hAnsi="仿宋" w:cs="Times New Roman" w:hint="eastAsia"/>
          <w:sz w:val="32"/>
          <w:szCs w:val="32"/>
        </w:rPr>
        <w:t>，新增中药饮片</w:t>
      </w:r>
      <w:r w:rsidR="00F4156D" w:rsidRPr="00AA0CD2">
        <w:rPr>
          <w:rFonts w:ascii="仿宋" w:eastAsia="仿宋" w:hAnsi="仿宋" w:cs="Times New Roman"/>
          <w:sz w:val="32"/>
          <w:szCs w:val="32"/>
        </w:rPr>
        <w:t>18</w:t>
      </w:r>
      <w:r w:rsidR="00F4156D" w:rsidRPr="00AA0CD2">
        <w:rPr>
          <w:rFonts w:ascii="仿宋" w:eastAsia="仿宋" w:hAnsi="仿宋" w:cs="Times New Roman" w:hint="eastAsia"/>
          <w:sz w:val="32"/>
          <w:szCs w:val="32"/>
        </w:rPr>
        <w:t>种</w:t>
      </w:r>
      <w:r w:rsidR="00F4156D">
        <w:rPr>
          <w:rFonts w:ascii="仿宋" w:eastAsia="仿宋" w:hAnsi="仿宋" w:cs="Times New Roman" w:hint="eastAsia"/>
          <w:sz w:val="32"/>
          <w:szCs w:val="32"/>
        </w:rPr>
        <w:t>、</w:t>
      </w:r>
      <w:r w:rsidR="00F4156D" w:rsidRPr="00AA0CD2">
        <w:rPr>
          <w:rFonts w:ascii="仿宋" w:eastAsia="仿宋" w:hAnsi="仿宋" w:cs="Times New Roman" w:hint="eastAsia"/>
          <w:sz w:val="32"/>
          <w:szCs w:val="32"/>
        </w:rPr>
        <w:t>中药颗粒</w:t>
      </w:r>
      <w:r w:rsidR="00F4156D" w:rsidRPr="00AA0CD2">
        <w:rPr>
          <w:rFonts w:ascii="仿宋" w:eastAsia="仿宋" w:hAnsi="仿宋" w:cs="Times New Roman"/>
          <w:sz w:val="32"/>
          <w:szCs w:val="32"/>
        </w:rPr>
        <w:t>462</w:t>
      </w:r>
      <w:r w:rsidR="00F4156D" w:rsidRPr="00AA0CD2">
        <w:rPr>
          <w:rFonts w:ascii="仿宋" w:eastAsia="仿宋" w:hAnsi="仿宋" w:cs="Times New Roman" w:hint="eastAsia"/>
          <w:sz w:val="32"/>
          <w:szCs w:val="32"/>
        </w:rPr>
        <w:t>种纳入新农合补偿范围。</w:t>
      </w:r>
      <w:r w:rsidR="00F4156D">
        <w:rPr>
          <w:rFonts w:ascii="仿宋" w:eastAsia="仿宋" w:hAnsi="仿宋" w:cs="Times New Roman" w:hint="eastAsia"/>
          <w:sz w:val="32"/>
          <w:szCs w:val="32"/>
        </w:rPr>
        <w:t>全市新农合政策补偿比为</w:t>
      </w:r>
      <w:r w:rsidR="00F4156D">
        <w:rPr>
          <w:rFonts w:ascii="仿宋" w:eastAsia="仿宋" w:hAnsi="仿宋" w:cs="Times New Roman"/>
          <w:sz w:val="32"/>
          <w:szCs w:val="32"/>
        </w:rPr>
        <w:t>80</w:t>
      </w:r>
      <w:r w:rsidR="00F4156D" w:rsidRPr="00E80003">
        <w:rPr>
          <w:rFonts w:ascii="仿宋" w:eastAsia="仿宋" w:hAnsi="仿宋" w:cs="Times New Roman"/>
          <w:sz w:val="32"/>
          <w:szCs w:val="32"/>
        </w:rPr>
        <w:t>%</w:t>
      </w:r>
      <w:r w:rsidR="00F4156D" w:rsidRPr="00E80003">
        <w:rPr>
          <w:rFonts w:ascii="仿宋" w:eastAsia="仿宋" w:hAnsi="仿宋" w:cs="Times New Roman" w:hint="eastAsia"/>
          <w:sz w:val="32"/>
          <w:szCs w:val="32"/>
        </w:rPr>
        <w:t>，实际补偿比</w:t>
      </w:r>
      <w:r w:rsidR="00F4156D">
        <w:rPr>
          <w:rFonts w:ascii="仿宋" w:eastAsia="仿宋" w:hAnsi="仿宋" w:cs="Times New Roman" w:hint="eastAsia"/>
          <w:sz w:val="32"/>
          <w:szCs w:val="32"/>
        </w:rPr>
        <w:t>为</w:t>
      </w:r>
      <w:r w:rsidR="00F4156D" w:rsidRPr="00E80003">
        <w:rPr>
          <w:rFonts w:ascii="仿宋" w:eastAsia="仿宋" w:hAnsi="仿宋" w:cs="Times New Roman"/>
          <w:sz w:val="32"/>
          <w:szCs w:val="32"/>
        </w:rPr>
        <w:t>55</w:t>
      </w:r>
      <w:r w:rsidR="00F4156D">
        <w:rPr>
          <w:rFonts w:ascii="仿宋" w:eastAsia="仿宋" w:hAnsi="仿宋" w:cs="Times New Roman"/>
          <w:sz w:val="32"/>
          <w:szCs w:val="32"/>
        </w:rPr>
        <w:t>.</w:t>
      </w:r>
      <w:r w:rsidR="00035ED8">
        <w:rPr>
          <w:rFonts w:ascii="仿宋" w:eastAsia="仿宋" w:hAnsi="仿宋" w:cs="Times New Roman" w:hint="eastAsia"/>
          <w:sz w:val="32"/>
          <w:szCs w:val="32"/>
        </w:rPr>
        <w:t>6</w:t>
      </w:r>
      <w:r w:rsidR="00F4156D" w:rsidRPr="00E80003">
        <w:rPr>
          <w:rFonts w:ascii="仿宋" w:eastAsia="仿宋" w:hAnsi="仿宋" w:cs="Times New Roman"/>
          <w:sz w:val="32"/>
          <w:szCs w:val="32"/>
        </w:rPr>
        <w:t>%</w:t>
      </w:r>
      <w:r w:rsidR="00035ED8">
        <w:rPr>
          <w:rFonts w:ascii="仿宋" w:eastAsia="仿宋" w:hAnsi="仿宋" w:cs="Times New Roman" w:hint="eastAsia"/>
          <w:sz w:val="32"/>
          <w:szCs w:val="32"/>
        </w:rPr>
        <w:t>，</w:t>
      </w:r>
      <w:r w:rsidR="00F4156D" w:rsidRPr="002251EB">
        <w:rPr>
          <w:rFonts w:ascii="仿宋" w:eastAsia="仿宋" w:hAnsi="仿宋" w:cs="Times New Roman" w:hint="eastAsia"/>
          <w:sz w:val="32"/>
          <w:szCs w:val="32"/>
        </w:rPr>
        <w:t>实现</w:t>
      </w:r>
      <w:r w:rsidR="00F4156D">
        <w:rPr>
          <w:rFonts w:ascii="仿宋" w:eastAsia="仿宋" w:hAnsi="仿宋" w:cs="Times New Roman" w:hint="eastAsia"/>
          <w:sz w:val="32"/>
          <w:szCs w:val="32"/>
        </w:rPr>
        <w:t>参合患者</w:t>
      </w:r>
      <w:r w:rsidR="00F4156D" w:rsidRPr="002251EB">
        <w:rPr>
          <w:rFonts w:ascii="仿宋" w:eastAsia="仿宋" w:hAnsi="仿宋" w:cs="Times New Roman" w:hint="eastAsia"/>
          <w:sz w:val="32"/>
          <w:szCs w:val="32"/>
        </w:rPr>
        <w:t>省内联网医院</w:t>
      </w:r>
      <w:r w:rsidR="00F4156D">
        <w:rPr>
          <w:rFonts w:ascii="仿宋" w:eastAsia="仿宋" w:hAnsi="仿宋" w:cs="Times New Roman" w:hint="eastAsia"/>
          <w:sz w:val="32"/>
          <w:szCs w:val="32"/>
        </w:rPr>
        <w:t>住院费用</w:t>
      </w:r>
      <w:r w:rsidR="00F4156D" w:rsidRPr="002251EB">
        <w:rPr>
          <w:rFonts w:ascii="仿宋" w:eastAsia="仿宋" w:hAnsi="仿宋" w:cs="Times New Roman" w:hint="eastAsia"/>
          <w:sz w:val="32"/>
          <w:szCs w:val="32"/>
        </w:rPr>
        <w:t>即时结报</w:t>
      </w:r>
      <w:r w:rsidR="00F4156D">
        <w:rPr>
          <w:rFonts w:ascii="仿宋" w:eastAsia="仿宋" w:hAnsi="仿宋" w:cs="Times New Roman" w:hint="eastAsia"/>
          <w:sz w:val="32"/>
          <w:szCs w:val="32"/>
        </w:rPr>
        <w:t>。</w:t>
      </w:r>
    </w:p>
    <w:p w:rsidR="00F4156D" w:rsidRPr="002B30D8" w:rsidRDefault="00F4156D" w:rsidP="009262F8">
      <w:pPr>
        <w:spacing w:line="560" w:lineRule="exact"/>
        <w:ind w:firstLineChars="200" w:firstLine="640"/>
        <w:rPr>
          <w:rFonts w:ascii="仿宋_GB2312" w:eastAsia="仿宋_GB2312" w:hAnsi="Calibri" w:cs="Times New Roman"/>
          <w:sz w:val="32"/>
          <w:szCs w:val="32"/>
        </w:rPr>
      </w:pPr>
    </w:p>
    <w:p w:rsidR="00B74B05" w:rsidRPr="00B74B05" w:rsidRDefault="00B74B05" w:rsidP="009262F8">
      <w:pPr>
        <w:widowControl/>
        <w:shd w:val="clear" w:color="auto" w:fill="FFFFFF"/>
        <w:spacing w:before="100" w:beforeAutospacing="1" w:after="100" w:afterAutospacing="1" w:line="560" w:lineRule="exact"/>
        <w:ind w:leftChars="66" w:left="139" w:firstLineChars="200" w:firstLine="482"/>
        <w:jc w:val="left"/>
        <w:rPr>
          <w:rFonts w:ascii="宋体" w:eastAsia="宋体" w:hAnsi="宋体" w:cs="宋体"/>
          <w:color w:val="353535"/>
          <w:kern w:val="0"/>
          <w:sz w:val="24"/>
          <w:szCs w:val="24"/>
        </w:rPr>
      </w:pPr>
      <w:r w:rsidRPr="00B74B05">
        <w:rPr>
          <w:rFonts w:ascii="Times New Roman" w:eastAsia="宋体" w:hAnsi="Times New Roman" w:cs="宋体" w:hint="eastAsia"/>
          <w:b/>
          <w:color w:val="353535"/>
          <w:kern w:val="0"/>
          <w:sz w:val="24"/>
          <w:szCs w:val="24"/>
        </w:rPr>
        <w:lastRenderedPageBreak/>
        <w:t>注：</w:t>
      </w:r>
      <w:r w:rsidRPr="00B74B05">
        <w:rPr>
          <w:rFonts w:ascii="宋体" w:eastAsia="宋体" w:hAnsi="宋体" w:cs="宋体"/>
          <w:color w:val="353535"/>
          <w:kern w:val="0"/>
          <w:sz w:val="24"/>
          <w:szCs w:val="24"/>
        </w:rPr>
        <w:t>1</w:t>
      </w:r>
      <w:r w:rsidRPr="00B74B05">
        <w:rPr>
          <w:rFonts w:ascii="Times New Roman" w:eastAsia="宋体" w:hAnsi="Times New Roman" w:cs="宋体" w:hint="eastAsia"/>
          <w:color w:val="353535"/>
          <w:kern w:val="0"/>
          <w:sz w:val="24"/>
          <w:szCs w:val="24"/>
        </w:rPr>
        <w:t>、公报中地区生产总值和各产业增加值绝对值按现行价格计算，增长速度按可比价格计算。</w:t>
      </w:r>
    </w:p>
    <w:p w:rsidR="00B74B05" w:rsidRPr="00B74B05" w:rsidRDefault="00B74B05" w:rsidP="009262F8">
      <w:pPr>
        <w:widowControl/>
        <w:shd w:val="clear" w:color="auto" w:fill="FFFFFF"/>
        <w:spacing w:before="100" w:beforeAutospacing="1" w:after="100" w:afterAutospacing="1" w:line="560" w:lineRule="exact"/>
        <w:ind w:firstLineChars="450" w:firstLine="1080"/>
        <w:jc w:val="left"/>
        <w:rPr>
          <w:rFonts w:ascii="宋体" w:eastAsia="宋体" w:hAnsi="宋体" w:cs="宋体"/>
          <w:color w:val="353535"/>
          <w:kern w:val="0"/>
          <w:sz w:val="24"/>
          <w:szCs w:val="24"/>
        </w:rPr>
      </w:pPr>
      <w:r w:rsidRPr="00B74B05">
        <w:rPr>
          <w:rFonts w:ascii="宋体" w:eastAsia="宋体" w:hAnsi="宋体" w:cs="宋体"/>
          <w:color w:val="353535"/>
          <w:kern w:val="0"/>
          <w:sz w:val="24"/>
          <w:szCs w:val="24"/>
        </w:rPr>
        <w:t>2</w:t>
      </w:r>
      <w:r w:rsidRPr="00B74B05">
        <w:rPr>
          <w:rFonts w:ascii="Times New Roman" w:eastAsia="宋体" w:hAnsi="Times New Roman" w:cs="宋体" w:hint="eastAsia"/>
          <w:color w:val="353535"/>
          <w:kern w:val="0"/>
          <w:sz w:val="24"/>
          <w:szCs w:val="24"/>
        </w:rPr>
        <w:t>、公报中部分数据为初步统计数，正式统计数据以《连云港统计年鉴》为准。</w:t>
      </w:r>
    </w:p>
    <w:p w:rsidR="00B74B05" w:rsidRDefault="00B74B05" w:rsidP="009262F8">
      <w:pPr>
        <w:spacing w:line="560" w:lineRule="exact"/>
      </w:pPr>
    </w:p>
    <w:p w:rsidR="00303118" w:rsidRPr="00FA5FD0" w:rsidRDefault="00FA5FD0" w:rsidP="009262F8">
      <w:pPr>
        <w:spacing w:line="560" w:lineRule="exact"/>
        <w:rPr>
          <w:rFonts w:ascii="仿宋_GB2312" w:eastAsia="仿宋_GB2312"/>
          <w:sz w:val="30"/>
          <w:szCs w:val="30"/>
        </w:rPr>
      </w:pPr>
      <w:r>
        <w:rPr>
          <w:rFonts w:hint="eastAsia"/>
        </w:rPr>
        <w:t xml:space="preserve">          </w:t>
      </w:r>
      <w:r w:rsidR="00BF2861">
        <w:rPr>
          <w:rFonts w:hint="eastAsia"/>
        </w:rPr>
        <w:t xml:space="preserve"> </w:t>
      </w:r>
      <w:r>
        <w:rPr>
          <w:rFonts w:ascii="仿宋_GB2312" w:eastAsia="仿宋_GB2312" w:hint="eastAsia"/>
          <w:sz w:val="30"/>
          <w:szCs w:val="30"/>
        </w:rPr>
        <w:t>（</w:t>
      </w:r>
      <w:r w:rsidR="00303118" w:rsidRPr="00FA5FD0">
        <w:rPr>
          <w:rFonts w:ascii="仿宋_GB2312" w:eastAsia="仿宋_GB2312" w:hint="eastAsia"/>
          <w:sz w:val="30"/>
          <w:szCs w:val="30"/>
        </w:rPr>
        <w:t xml:space="preserve">撰稿：董作村  刘军  谢陈祥  </w:t>
      </w:r>
      <w:r>
        <w:rPr>
          <w:rFonts w:ascii="仿宋_GB2312" w:eastAsia="仿宋_GB2312" w:hint="eastAsia"/>
          <w:sz w:val="30"/>
          <w:szCs w:val="30"/>
        </w:rPr>
        <w:t xml:space="preserve">  </w:t>
      </w:r>
      <w:r w:rsidR="00303118" w:rsidRPr="00FA5FD0">
        <w:rPr>
          <w:rFonts w:ascii="仿宋_GB2312" w:eastAsia="仿宋_GB2312" w:hint="eastAsia"/>
          <w:sz w:val="30"/>
          <w:szCs w:val="30"/>
        </w:rPr>
        <w:t xml:space="preserve"> </w:t>
      </w:r>
      <w:r w:rsidRPr="00FA5FD0">
        <w:rPr>
          <w:rFonts w:ascii="仿宋_GB2312" w:eastAsia="仿宋_GB2312" w:hint="eastAsia"/>
          <w:sz w:val="30"/>
          <w:szCs w:val="30"/>
        </w:rPr>
        <w:t>核稿：刘军</w:t>
      </w:r>
      <w:r>
        <w:rPr>
          <w:rFonts w:ascii="仿宋_GB2312" w:eastAsia="仿宋_GB2312" w:hint="eastAsia"/>
          <w:sz w:val="30"/>
          <w:szCs w:val="30"/>
        </w:rPr>
        <w:t>）</w:t>
      </w:r>
    </w:p>
    <w:sectPr w:rsidR="00303118" w:rsidRPr="00FA5FD0" w:rsidSect="00C95DB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65CA" w:rsidRDefault="009765CA" w:rsidP="00B74B05">
      <w:r>
        <w:separator/>
      </w:r>
    </w:p>
  </w:endnote>
  <w:endnote w:type="continuationSeparator" w:id="0">
    <w:p w:rsidR="009765CA" w:rsidRDefault="009765CA" w:rsidP="00B74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宋体"/>
    <w:panose1 w:val="00000000000000000000"/>
    <w:charset w:val="86"/>
    <w:family w:val="roman"/>
    <w:notTrueType/>
    <w:pitch w:val="default"/>
    <w:sig w:usb0="00000001" w:usb1="080E0000" w:usb2="00000010" w:usb3="00000000" w:csb0="00040000" w:csb1="00000000"/>
  </w:font>
  <w:font w:name="仿宋_GB2312">
    <w:altName w:val="仿宋"/>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panose1 w:val="00000000000000000000"/>
    <w:charset w:val="86"/>
    <w:family w:val="roman"/>
    <w:notTrueType/>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华文宋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65CA" w:rsidRDefault="009765CA" w:rsidP="00B74B05">
      <w:r>
        <w:separator/>
      </w:r>
    </w:p>
  </w:footnote>
  <w:footnote w:type="continuationSeparator" w:id="0">
    <w:p w:rsidR="009765CA" w:rsidRDefault="009765CA" w:rsidP="00B74B0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74B05"/>
    <w:rsid w:val="00020ADF"/>
    <w:rsid w:val="00034BF3"/>
    <w:rsid w:val="00035ED8"/>
    <w:rsid w:val="000438C8"/>
    <w:rsid w:val="000C2EF7"/>
    <w:rsid w:val="000E3004"/>
    <w:rsid w:val="0013303F"/>
    <w:rsid w:val="00172F13"/>
    <w:rsid w:val="001872D1"/>
    <w:rsid w:val="00191C98"/>
    <w:rsid w:val="001A0828"/>
    <w:rsid w:val="001B0B82"/>
    <w:rsid w:val="001E20F6"/>
    <w:rsid w:val="001E3FAC"/>
    <w:rsid w:val="001F02E7"/>
    <w:rsid w:val="001F06A3"/>
    <w:rsid w:val="001F576F"/>
    <w:rsid w:val="001F776E"/>
    <w:rsid w:val="00271276"/>
    <w:rsid w:val="00275A71"/>
    <w:rsid w:val="00282A52"/>
    <w:rsid w:val="00295516"/>
    <w:rsid w:val="002A7570"/>
    <w:rsid w:val="002D142B"/>
    <w:rsid w:val="002E60E3"/>
    <w:rsid w:val="00303118"/>
    <w:rsid w:val="00312463"/>
    <w:rsid w:val="0032624A"/>
    <w:rsid w:val="003363F9"/>
    <w:rsid w:val="00364D67"/>
    <w:rsid w:val="00382544"/>
    <w:rsid w:val="003C1EC1"/>
    <w:rsid w:val="004752C5"/>
    <w:rsid w:val="004A0BEC"/>
    <w:rsid w:val="004D6786"/>
    <w:rsid w:val="00505254"/>
    <w:rsid w:val="00581CC1"/>
    <w:rsid w:val="005B32E5"/>
    <w:rsid w:val="005D4621"/>
    <w:rsid w:val="00600361"/>
    <w:rsid w:val="00605EED"/>
    <w:rsid w:val="00627DA6"/>
    <w:rsid w:val="006512AB"/>
    <w:rsid w:val="00656032"/>
    <w:rsid w:val="00661D12"/>
    <w:rsid w:val="00673CF3"/>
    <w:rsid w:val="006A5A9A"/>
    <w:rsid w:val="006D3C62"/>
    <w:rsid w:val="00713468"/>
    <w:rsid w:val="00714117"/>
    <w:rsid w:val="00715C0D"/>
    <w:rsid w:val="007333DF"/>
    <w:rsid w:val="00797074"/>
    <w:rsid w:val="007A7F01"/>
    <w:rsid w:val="007F3727"/>
    <w:rsid w:val="00825D96"/>
    <w:rsid w:val="00826B9A"/>
    <w:rsid w:val="008401F7"/>
    <w:rsid w:val="00840AB3"/>
    <w:rsid w:val="0085421F"/>
    <w:rsid w:val="008651D9"/>
    <w:rsid w:val="00874C9A"/>
    <w:rsid w:val="00875A8D"/>
    <w:rsid w:val="0089118C"/>
    <w:rsid w:val="008F2D4D"/>
    <w:rsid w:val="00916E02"/>
    <w:rsid w:val="009262F8"/>
    <w:rsid w:val="00955083"/>
    <w:rsid w:val="009765CA"/>
    <w:rsid w:val="00983578"/>
    <w:rsid w:val="009B163E"/>
    <w:rsid w:val="009D2320"/>
    <w:rsid w:val="00A16321"/>
    <w:rsid w:val="00A57572"/>
    <w:rsid w:val="00A948A1"/>
    <w:rsid w:val="00A97367"/>
    <w:rsid w:val="00AC5EEC"/>
    <w:rsid w:val="00AF6E55"/>
    <w:rsid w:val="00B23B69"/>
    <w:rsid w:val="00B27F4C"/>
    <w:rsid w:val="00B30D5C"/>
    <w:rsid w:val="00B45786"/>
    <w:rsid w:val="00B74B05"/>
    <w:rsid w:val="00BD75F6"/>
    <w:rsid w:val="00BF2861"/>
    <w:rsid w:val="00C34B6C"/>
    <w:rsid w:val="00C63909"/>
    <w:rsid w:val="00C86179"/>
    <w:rsid w:val="00C95DB9"/>
    <w:rsid w:val="00CA5A42"/>
    <w:rsid w:val="00CD2F09"/>
    <w:rsid w:val="00CE7DB5"/>
    <w:rsid w:val="00D549E0"/>
    <w:rsid w:val="00D6730E"/>
    <w:rsid w:val="00DA03CD"/>
    <w:rsid w:val="00DA65D2"/>
    <w:rsid w:val="00DB3304"/>
    <w:rsid w:val="00DB6709"/>
    <w:rsid w:val="00DE68FB"/>
    <w:rsid w:val="00E179B4"/>
    <w:rsid w:val="00E25D08"/>
    <w:rsid w:val="00E331EB"/>
    <w:rsid w:val="00E33546"/>
    <w:rsid w:val="00E5242D"/>
    <w:rsid w:val="00E60A3A"/>
    <w:rsid w:val="00E71B2D"/>
    <w:rsid w:val="00E71D71"/>
    <w:rsid w:val="00F14DFF"/>
    <w:rsid w:val="00F37185"/>
    <w:rsid w:val="00F40C2A"/>
    <w:rsid w:val="00F4156D"/>
    <w:rsid w:val="00F44859"/>
    <w:rsid w:val="00F50335"/>
    <w:rsid w:val="00F87069"/>
    <w:rsid w:val="00FA5FD0"/>
    <w:rsid w:val="00FD0E93"/>
    <w:rsid w:val="00FE2C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FC13F95-2CBD-49BD-A01F-5A5CF2663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5DB9"/>
    <w:pPr>
      <w:widowControl w:val="0"/>
      <w:jc w:val="both"/>
    </w:pPr>
  </w:style>
  <w:style w:type="paragraph" w:styleId="2">
    <w:name w:val="heading 2"/>
    <w:basedOn w:val="a"/>
    <w:link w:val="2Char"/>
    <w:uiPriority w:val="9"/>
    <w:qFormat/>
    <w:rsid w:val="00B74B05"/>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74B0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74B05"/>
    <w:rPr>
      <w:sz w:val="18"/>
      <w:szCs w:val="18"/>
    </w:rPr>
  </w:style>
  <w:style w:type="paragraph" w:styleId="a4">
    <w:name w:val="footer"/>
    <w:basedOn w:val="a"/>
    <w:link w:val="Char0"/>
    <w:uiPriority w:val="99"/>
    <w:unhideWhenUsed/>
    <w:rsid w:val="00B74B05"/>
    <w:pPr>
      <w:tabs>
        <w:tab w:val="center" w:pos="4153"/>
        <w:tab w:val="right" w:pos="8306"/>
      </w:tabs>
      <w:snapToGrid w:val="0"/>
      <w:jc w:val="left"/>
    </w:pPr>
    <w:rPr>
      <w:sz w:val="18"/>
      <w:szCs w:val="18"/>
    </w:rPr>
  </w:style>
  <w:style w:type="character" w:customStyle="1" w:styleId="Char0">
    <w:name w:val="页脚 Char"/>
    <w:basedOn w:val="a0"/>
    <w:link w:val="a4"/>
    <w:uiPriority w:val="99"/>
    <w:rsid w:val="00B74B05"/>
    <w:rPr>
      <w:sz w:val="18"/>
      <w:szCs w:val="18"/>
    </w:rPr>
  </w:style>
  <w:style w:type="character" w:customStyle="1" w:styleId="2Char">
    <w:name w:val="标题 2 Char"/>
    <w:basedOn w:val="a0"/>
    <w:link w:val="2"/>
    <w:uiPriority w:val="9"/>
    <w:rsid w:val="00B74B05"/>
    <w:rPr>
      <w:rFonts w:ascii="宋体" w:eastAsia="宋体" w:hAnsi="宋体" w:cs="宋体"/>
      <w:b/>
      <w:bCs/>
      <w:kern w:val="0"/>
      <w:sz w:val="36"/>
      <w:szCs w:val="36"/>
    </w:rPr>
  </w:style>
  <w:style w:type="character" w:styleId="a5">
    <w:name w:val="Hyperlink"/>
    <w:basedOn w:val="a0"/>
    <w:uiPriority w:val="99"/>
    <w:semiHidden/>
    <w:unhideWhenUsed/>
    <w:rsid w:val="00B74B05"/>
    <w:rPr>
      <w:strike w:val="0"/>
      <w:dstrike w:val="0"/>
      <w:color w:val="626262"/>
      <w:u w:val="none"/>
      <w:effect w:val="none"/>
    </w:rPr>
  </w:style>
  <w:style w:type="character" w:styleId="a6">
    <w:name w:val="FollowedHyperlink"/>
    <w:basedOn w:val="a0"/>
    <w:uiPriority w:val="99"/>
    <w:semiHidden/>
    <w:unhideWhenUsed/>
    <w:rsid w:val="00B74B05"/>
    <w:rPr>
      <w:strike w:val="0"/>
      <w:dstrike w:val="0"/>
      <w:color w:val="626262"/>
      <w:u w:val="none"/>
      <w:effect w:val="none"/>
    </w:rPr>
  </w:style>
  <w:style w:type="paragraph" w:styleId="a7">
    <w:name w:val="Normal (Web)"/>
    <w:basedOn w:val="a"/>
    <w:uiPriority w:val="99"/>
    <w:semiHidden/>
    <w:unhideWhenUsed/>
    <w:rsid w:val="00B74B05"/>
    <w:pPr>
      <w:widowControl/>
      <w:spacing w:before="100" w:beforeAutospacing="1" w:after="100" w:afterAutospacing="1"/>
      <w:jc w:val="left"/>
    </w:pPr>
    <w:rPr>
      <w:rFonts w:ascii="宋体" w:eastAsia="宋体" w:hAnsi="宋体" w:cs="宋体"/>
      <w:kern w:val="0"/>
      <w:sz w:val="24"/>
      <w:szCs w:val="24"/>
    </w:rPr>
  </w:style>
  <w:style w:type="paragraph" w:customStyle="1" w:styleId="fuwu">
    <w:name w:val="fuwu"/>
    <w:basedOn w:val="a"/>
    <w:rsid w:val="00B74B05"/>
    <w:pPr>
      <w:widowControl/>
      <w:spacing w:before="100" w:beforeAutospacing="1" w:after="100" w:afterAutospacing="1"/>
      <w:jc w:val="left"/>
    </w:pPr>
    <w:rPr>
      <w:rFonts w:ascii="宋体" w:eastAsia="宋体" w:hAnsi="宋体" w:cs="宋体"/>
      <w:kern w:val="0"/>
      <w:sz w:val="24"/>
      <w:szCs w:val="24"/>
    </w:rPr>
  </w:style>
  <w:style w:type="paragraph" w:customStyle="1" w:styleId="clear">
    <w:name w:val="clear"/>
    <w:basedOn w:val="a"/>
    <w:rsid w:val="00B74B05"/>
    <w:pPr>
      <w:widowControl/>
      <w:spacing w:before="100" w:beforeAutospacing="1" w:after="100" w:afterAutospacing="1"/>
      <w:jc w:val="left"/>
    </w:pPr>
    <w:rPr>
      <w:rFonts w:ascii="宋体" w:eastAsia="宋体" w:hAnsi="宋体" w:cs="宋体"/>
      <w:kern w:val="0"/>
      <w:sz w:val="24"/>
      <w:szCs w:val="24"/>
    </w:rPr>
  </w:style>
  <w:style w:type="paragraph" w:customStyle="1" w:styleId="blank">
    <w:name w:val="blank"/>
    <w:basedOn w:val="a"/>
    <w:rsid w:val="00B74B05"/>
    <w:pPr>
      <w:widowControl/>
      <w:spacing w:before="100" w:beforeAutospacing="1" w:after="100" w:afterAutospacing="1"/>
      <w:jc w:val="left"/>
    </w:pPr>
    <w:rPr>
      <w:rFonts w:ascii="宋体" w:eastAsia="宋体" w:hAnsi="宋体" w:cs="宋体"/>
      <w:kern w:val="0"/>
      <w:sz w:val="6"/>
      <w:szCs w:val="6"/>
    </w:rPr>
  </w:style>
  <w:style w:type="paragraph" w:customStyle="1" w:styleId="layout">
    <w:name w:val="layout"/>
    <w:basedOn w:val="a"/>
    <w:rsid w:val="00B74B05"/>
    <w:pPr>
      <w:widowControl/>
      <w:jc w:val="left"/>
    </w:pPr>
    <w:rPr>
      <w:rFonts w:ascii="宋体" w:eastAsia="宋体" w:hAnsi="宋体" w:cs="宋体"/>
      <w:kern w:val="0"/>
      <w:sz w:val="24"/>
      <w:szCs w:val="24"/>
    </w:rPr>
  </w:style>
  <w:style w:type="paragraph" w:customStyle="1" w:styleId="tools">
    <w:name w:val="tools"/>
    <w:basedOn w:val="a"/>
    <w:rsid w:val="00B74B05"/>
    <w:pPr>
      <w:widowControl/>
      <w:pBdr>
        <w:top w:val="single" w:sz="6" w:space="0" w:color="A6AAAB"/>
        <w:left w:val="single" w:sz="6" w:space="0" w:color="A6AAAB"/>
        <w:bottom w:val="single" w:sz="6" w:space="0" w:color="A6AAAB"/>
        <w:right w:val="single" w:sz="6" w:space="0" w:color="A6AAAB"/>
      </w:pBdr>
      <w:spacing w:before="100" w:beforeAutospacing="1" w:after="100" w:afterAutospacing="1"/>
      <w:jc w:val="left"/>
    </w:pPr>
    <w:rPr>
      <w:rFonts w:ascii="宋体" w:eastAsia="宋体" w:hAnsi="宋体" w:cs="宋体"/>
      <w:kern w:val="0"/>
      <w:sz w:val="24"/>
      <w:szCs w:val="24"/>
    </w:rPr>
  </w:style>
  <w:style w:type="paragraph" w:customStyle="1" w:styleId="flash">
    <w:name w:val="flash"/>
    <w:basedOn w:val="a"/>
    <w:rsid w:val="00B74B05"/>
    <w:pPr>
      <w:widowControl/>
      <w:jc w:val="left"/>
    </w:pPr>
    <w:rPr>
      <w:rFonts w:ascii="宋体" w:eastAsia="宋体" w:hAnsi="宋体" w:cs="宋体"/>
      <w:kern w:val="0"/>
      <w:sz w:val="24"/>
      <w:szCs w:val="24"/>
    </w:rPr>
  </w:style>
  <w:style w:type="paragraph" w:customStyle="1" w:styleId="nav">
    <w:name w:val="nav"/>
    <w:basedOn w:val="a"/>
    <w:rsid w:val="00B74B05"/>
    <w:pPr>
      <w:widowControl/>
      <w:jc w:val="left"/>
    </w:pPr>
    <w:rPr>
      <w:rFonts w:ascii="宋体" w:eastAsia="宋体" w:hAnsi="宋体" w:cs="宋体"/>
      <w:kern w:val="0"/>
      <w:sz w:val="24"/>
      <w:szCs w:val="24"/>
    </w:rPr>
  </w:style>
  <w:style w:type="paragraph" w:customStyle="1" w:styleId="coloum-title">
    <w:name w:val="coloum-title"/>
    <w:basedOn w:val="a"/>
    <w:rsid w:val="00B74B05"/>
    <w:pPr>
      <w:widowControl/>
      <w:jc w:val="left"/>
    </w:pPr>
    <w:rPr>
      <w:rFonts w:ascii="宋体" w:eastAsia="宋体" w:hAnsi="宋体" w:cs="宋体"/>
      <w:color w:val="0868CF"/>
      <w:kern w:val="0"/>
      <w:sz w:val="24"/>
      <w:szCs w:val="24"/>
    </w:rPr>
  </w:style>
  <w:style w:type="paragraph" w:customStyle="1" w:styleId="column-list">
    <w:name w:val="column-list"/>
    <w:basedOn w:val="a"/>
    <w:rsid w:val="00B74B05"/>
    <w:pPr>
      <w:widowControl/>
      <w:jc w:val="left"/>
    </w:pPr>
    <w:rPr>
      <w:rFonts w:ascii="宋体" w:eastAsia="宋体" w:hAnsi="宋体" w:cs="宋体"/>
      <w:kern w:val="0"/>
      <w:sz w:val="24"/>
      <w:szCs w:val="24"/>
    </w:rPr>
  </w:style>
  <w:style w:type="paragraph" w:customStyle="1" w:styleId="affiche-todaydate">
    <w:name w:val="affiche-todaydate"/>
    <w:basedOn w:val="a"/>
    <w:rsid w:val="00B74B05"/>
    <w:pPr>
      <w:widowControl/>
      <w:spacing w:line="510" w:lineRule="atLeast"/>
      <w:jc w:val="left"/>
    </w:pPr>
    <w:rPr>
      <w:rFonts w:ascii="宋体" w:eastAsia="宋体" w:hAnsi="宋体" w:cs="宋体"/>
      <w:kern w:val="0"/>
      <w:sz w:val="24"/>
      <w:szCs w:val="24"/>
    </w:rPr>
  </w:style>
  <w:style w:type="paragraph" w:customStyle="1" w:styleId="subnav">
    <w:name w:val="subnav"/>
    <w:basedOn w:val="a"/>
    <w:rsid w:val="00B74B05"/>
    <w:pPr>
      <w:widowControl/>
      <w:spacing w:before="100" w:beforeAutospacing="1" w:after="100" w:afterAutospacing="1" w:line="390" w:lineRule="atLeast"/>
      <w:jc w:val="left"/>
    </w:pPr>
    <w:rPr>
      <w:rFonts w:ascii="宋体" w:eastAsia="宋体" w:hAnsi="宋体" w:cs="宋体"/>
      <w:vanish/>
      <w:kern w:val="0"/>
      <w:sz w:val="24"/>
      <w:szCs w:val="24"/>
    </w:rPr>
  </w:style>
  <w:style w:type="paragraph" w:customStyle="1" w:styleId="main">
    <w:name w:val="main"/>
    <w:basedOn w:val="a"/>
    <w:rsid w:val="00B74B05"/>
    <w:pPr>
      <w:widowControl/>
      <w:jc w:val="left"/>
    </w:pPr>
    <w:rPr>
      <w:rFonts w:ascii="宋体" w:eastAsia="宋体" w:hAnsi="宋体" w:cs="宋体"/>
      <w:kern w:val="0"/>
      <w:sz w:val="24"/>
      <w:szCs w:val="24"/>
    </w:rPr>
  </w:style>
  <w:style w:type="paragraph" w:customStyle="1" w:styleId="main-left1">
    <w:name w:val="main-left1"/>
    <w:basedOn w:val="a"/>
    <w:rsid w:val="00B74B05"/>
    <w:pPr>
      <w:widowControl/>
      <w:spacing w:before="100" w:beforeAutospacing="1" w:after="100" w:afterAutospacing="1"/>
      <w:jc w:val="left"/>
    </w:pPr>
    <w:rPr>
      <w:rFonts w:ascii="宋体" w:eastAsia="宋体" w:hAnsi="宋体" w:cs="宋体"/>
      <w:kern w:val="0"/>
      <w:sz w:val="24"/>
      <w:szCs w:val="24"/>
    </w:rPr>
  </w:style>
  <w:style w:type="paragraph" w:customStyle="1" w:styleId="main-left">
    <w:name w:val="main-left"/>
    <w:basedOn w:val="a"/>
    <w:rsid w:val="00B74B05"/>
    <w:pPr>
      <w:widowControl/>
      <w:spacing w:before="100" w:beforeAutospacing="1" w:after="100" w:afterAutospacing="1"/>
      <w:jc w:val="left"/>
    </w:pPr>
    <w:rPr>
      <w:rFonts w:ascii="宋体" w:eastAsia="宋体" w:hAnsi="宋体" w:cs="宋体"/>
      <w:kern w:val="0"/>
      <w:sz w:val="24"/>
      <w:szCs w:val="24"/>
    </w:rPr>
  </w:style>
  <w:style w:type="paragraph" w:customStyle="1" w:styleId="mainleft-columna">
    <w:name w:val="mainleft-columna"/>
    <w:basedOn w:val="a"/>
    <w:rsid w:val="00B74B05"/>
    <w:pPr>
      <w:widowControl/>
      <w:spacing w:before="100" w:beforeAutospacing="1" w:after="100" w:afterAutospacing="1"/>
      <w:jc w:val="left"/>
    </w:pPr>
    <w:rPr>
      <w:rFonts w:ascii="宋体" w:eastAsia="宋体" w:hAnsi="宋体" w:cs="宋体"/>
      <w:kern w:val="0"/>
      <w:sz w:val="24"/>
      <w:szCs w:val="24"/>
    </w:rPr>
  </w:style>
  <w:style w:type="paragraph" w:customStyle="1" w:styleId="mainleft-columna-right">
    <w:name w:val="mainleft-columna-right"/>
    <w:basedOn w:val="a"/>
    <w:rsid w:val="00B74B05"/>
    <w:pPr>
      <w:widowControl/>
      <w:spacing w:before="100" w:beforeAutospacing="1" w:after="100" w:afterAutospacing="1"/>
      <w:jc w:val="left"/>
    </w:pPr>
    <w:rPr>
      <w:rFonts w:ascii="宋体" w:eastAsia="宋体" w:hAnsi="宋体" w:cs="宋体"/>
      <w:kern w:val="0"/>
      <w:sz w:val="24"/>
      <w:szCs w:val="24"/>
    </w:rPr>
  </w:style>
  <w:style w:type="paragraph" w:customStyle="1" w:styleId="mainleft-columnalist">
    <w:name w:val="mainleft-columnalist"/>
    <w:basedOn w:val="a"/>
    <w:rsid w:val="00B74B05"/>
    <w:pPr>
      <w:widowControl/>
      <w:pBdr>
        <w:top w:val="single" w:sz="2" w:space="8" w:color="AECCF0"/>
        <w:left w:val="single" w:sz="6" w:space="0" w:color="AECCF0"/>
        <w:bottom w:val="single" w:sz="6" w:space="0" w:color="AECCF0"/>
        <w:right w:val="single" w:sz="6" w:space="0" w:color="AECCF0"/>
      </w:pBdr>
      <w:spacing w:before="100" w:beforeAutospacing="1" w:after="100" w:afterAutospacing="1"/>
      <w:jc w:val="left"/>
    </w:pPr>
    <w:rPr>
      <w:rFonts w:ascii="宋体" w:eastAsia="宋体" w:hAnsi="宋体" w:cs="宋体"/>
      <w:kern w:val="0"/>
      <w:sz w:val="24"/>
      <w:szCs w:val="24"/>
    </w:rPr>
  </w:style>
  <w:style w:type="paragraph" w:customStyle="1" w:styleId="mainleft-columnb">
    <w:name w:val="mainleft-columnb"/>
    <w:basedOn w:val="a"/>
    <w:rsid w:val="00B74B05"/>
    <w:pPr>
      <w:widowControl/>
      <w:spacing w:before="100" w:beforeAutospacing="1" w:after="100" w:afterAutospacing="1"/>
      <w:jc w:val="left"/>
    </w:pPr>
    <w:rPr>
      <w:rFonts w:ascii="宋体" w:eastAsia="宋体" w:hAnsi="宋体" w:cs="宋体"/>
      <w:kern w:val="0"/>
      <w:sz w:val="24"/>
      <w:szCs w:val="24"/>
    </w:rPr>
  </w:style>
  <w:style w:type="paragraph" w:customStyle="1" w:styleId="mainleft-columnb-right">
    <w:name w:val="mainleft-columnb-right"/>
    <w:basedOn w:val="a"/>
    <w:rsid w:val="00B74B05"/>
    <w:pPr>
      <w:widowControl/>
      <w:spacing w:before="100" w:beforeAutospacing="1" w:after="100" w:afterAutospacing="1"/>
      <w:jc w:val="left"/>
    </w:pPr>
    <w:rPr>
      <w:rFonts w:ascii="宋体" w:eastAsia="宋体" w:hAnsi="宋体" w:cs="宋体"/>
      <w:kern w:val="0"/>
      <w:sz w:val="24"/>
      <w:szCs w:val="24"/>
    </w:rPr>
  </w:style>
  <w:style w:type="paragraph" w:customStyle="1" w:styleId="mainleft-columnb-right2">
    <w:name w:val="mainleft-columnb-right2"/>
    <w:basedOn w:val="a"/>
    <w:rsid w:val="00B74B05"/>
    <w:pPr>
      <w:widowControl/>
      <w:spacing w:before="105" w:after="100" w:afterAutospacing="1"/>
      <w:jc w:val="left"/>
    </w:pPr>
    <w:rPr>
      <w:rFonts w:ascii="宋体" w:eastAsia="宋体" w:hAnsi="宋体" w:cs="宋体"/>
      <w:kern w:val="0"/>
      <w:sz w:val="24"/>
      <w:szCs w:val="24"/>
    </w:rPr>
  </w:style>
  <w:style w:type="paragraph" w:customStyle="1" w:styleId="mainleft-columnblist">
    <w:name w:val="mainleft-columnblist"/>
    <w:basedOn w:val="a"/>
    <w:rsid w:val="00B74B05"/>
    <w:pPr>
      <w:widowControl/>
      <w:pBdr>
        <w:top w:val="single" w:sz="2" w:space="8" w:color="AECCF0"/>
        <w:left w:val="single" w:sz="6" w:space="0" w:color="AECCF0"/>
        <w:bottom w:val="single" w:sz="6" w:space="0" w:color="AECCF0"/>
        <w:right w:val="single" w:sz="6" w:space="0" w:color="AECCF0"/>
      </w:pBdr>
      <w:spacing w:before="100" w:beforeAutospacing="1" w:after="100" w:afterAutospacing="1"/>
      <w:jc w:val="left"/>
    </w:pPr>
    <w:rPr>
      <w:rFonts w:ascii="宋体" w:eastAsia="宋体" w:hAnsi="宋体" w:cs="宋体"/>
      <w:kern w:val="0"/>
      <w:sz w:val="24"/>
      <w:szCs w:val="24"/>
    </w:rPr>
  </w:style>
  <w:style w:type="paragraph" w:customStyle="1" w:styleId="mainleft-columnbrlist">
    <w:name w:val="mainleft-columnbrlist"/>
    <w:basedOn w:val="a"/>
    <w:rsid w:val="00B74B05"/>
    <w:pPr>
      <w:widowControl/>
      <w:pBdr>
        <w:top w:val="single" w:sz="2" w:space="6" w:color="AECCF0"/>
        <w:left w:val="single" w:sz="6" w:space="0" w:color="AECCF0"/>
        <w:bottom w:val="single" w:sz="6" w:space="0" w:color="AECCF0"/>
        <w:right w:val="single" w:sz="6" w:space="0" w:color="AECCF0"/>
      </w:pBdr>
      <w:spacing w:before="100" w:beforeAutospacing="1" w:after="100" w:afterAutospacing="1"/>
      <w:jc w:val="left"/>
    </w:pPr>
    <w:rPr>
      <w:rFonts w:ascii="宋体" w:eastAsia="宋体" w:hAnsi="宋体" w:cs="宋体"/>
      <w:kern w:val="0"/>
      <w:sz w:val="24"/>
      <w:szCs w:val="24"/>
    </w:rPr>
  </w:style>
  <w:style w:type="paragraph" w:customStyle="1" w:styleId="mainleft-columnbrlist2">
    <w:name w:val="mainleft-columnbrlist2"/>
    <w:basedOn w:val="a"/>
    <w:rsid w:val="00B74B05"/>
    <w:pPr>
      <w:widowControl/>
      <w:pBdr>
        <w:top w:val="single" w:sz="2" w:space="8" w:color="AECCF0"/>
        <w:left w:val="single" w:sz="6" w:space="0" w:color="AECCF0"/>
        <w:bottom w:val="single" w:sz="6" w:space="0" w:color="AECCF0"/>
        <w:right w:val="single" w:sz="6" w:space="0" w:color="AECCF0"/>
      </w:pBdr>
      <w:spacing w:before="100" w:beforeAutospacing="1" w:after="100" w:afterAutospacing="1"/>
      <w:jc w:val="left"/>
    </w:pPr>
    <w:rPr>
      <w:rFonts w:ascii="宋体" w:eastAsia="宋体" w:hAnsi="宋体" w:cs="宋体"/>
      <w:kern w:val="0"/>
      <w:sz w:val="24"/>
      <w:szCs w:val="24"/>
    </w:rPr>
  </w:style>
  <w:style w:type="paragraph" w:customStyle="1" w:styleId="imglistarea">
    <w:name w:val="imglistarea"/>
    <w:basedOn w:val="a"/>
    <w:rsid w:val="00B74B05"/>
    <w:pPr>
      <w:widowControl/>
      <w:spacing w:before="100" w:beforeAutospacing="1" w:after="100" w:afterAutospacing="1"/>
      <w:jc w:val="left"/>
    </w:pPr>
    <w:rPr>
      <w:rFonts w:ascii="宋体" w:eastAsia="宋体" w:hAnsi="宋体" w:cs="宋体"/>
      <w:kern w:val="0"/>
      <w:sz w:val="24"/>
      <w:szCs w:val="24"/>
    </w:rPr>
  </w:style>
  <w:style w:type="paragraph" w:customStyle="1" w:styleId="imglist">
    <w:name w:val="imglist"/>
    <w:basedOn w:val="a"/>
    <w:rsid w:val="00B74B05"/>
    <w:pPr>
      <w:widowControl/>
      <w:spacing w:before="100" w:beforeAutospacing="1" w:after="100" w:afterAutospacing="1"/>
      <w:jc w:val="left"/>
    </w:pPr>
    <w:rPr>
      <w:rFonts w:ascii="宋体" w:eastAsia="宋体" w:hAnsi="宋体" w:cs="宋体"/>
      <w:kern w:val="0"/>
      <w:sz w:val="24"/>
      <w:szCs w:val="24"/>
    </w:rPr>
  </w:style>
  <w:style w:type="paragraph" w:customStyle="1" w:styleId="mainleft-columnc">
    <w:name w:val="mainleft-columnc"/>
    <w:basedOn w:val="a"/>
    <w:rsid w:val="00B74B05"/>
    <w:pPr>
      <w:widowControl/>
      <w:spacing w:before="100" w:beforeAutospacing="1" w:after="100" w:afterAutospacing="1"/>
      <w:jc w:val="left"/>
    </w:pPr>
    <w:rPr>
      <w:rFonts w:ascii="宋体" w:eastAsia="宋体" w:hAnsi="宋体" w:cs="宋体"/>
      <w:kern w:val="0"/>
      <w:sz w:val="24"/>
      <w:szCs w:val="24"/>
    </w:rPr>
  </w:style>
  <w:style w:type="paragraph" w:customStyle="1" w:styleId="mainleft-columnc-right">
    <w:name w:val="mainleft-columnc-right"/>
    <w:basedOn w:val="a"/>
    <w:rsid w:val="00B74B05"/>
    <w:pPr>
      <w:widowControl/>
      <w:spacing w:before="100" w:beforeAutospacing="1" w:after="100" w:afterAutospacing="1"/>
      <w:jc w:val="left"/>
    </w:pPr>
    <w:rPr>
      <w:rFonts w:ascii="宋体" w:eastAsia="宋体" w:hAnsi="宋体" w:cs="宋体"/>
      <w:kern w:val="0"/>
      <w:sz w:val="24"/>
      <w:szCs w:val="24"/>
    </w:rPr>
  </w:style>
  <w:style w:type="paragraph" w:customStyle="1" w:styleId="mainleft-columnclist">
    <w:name w:val="mainleft-columnclist"/>
    <w:basedOn w:val="a"/>
    <w:rsid w:val="00B74B05"/>
    <w:pPr>
      <w:widowControl/>
      <w:pBdr>
        <w:top w:val="single" w:sz="2" w:space="8" w:color="AECCF0"/>
        <w:left w:val="single" w:sz="6" w:space="0" w:color="AECCF0"/>
        <w:bottom w:val="single" w:sz="6" w:space="0" w:color="AECCF0"/>
        <w:right w:val="single" w:sz="6" w:space="0" w:color="AECCF0"/>
      </w:pBdr>
      <w:spacing w:before="100" w:beforeAutospacing="1" w:after="100" w:afterAutospacing="1"/>
      <w:jc w:val="left"/>
    </w:pPr>
    <w:rPr>
      <w:rFonts w:ascii="宋体" w:eastAsia="宋体" w:hAnsi="宋体" w:cs="宋体"/>
      <w:kern w:val="0"/>
      <w:sz w:val="24"/>
      <w:szCs w:val="24"/>
    </w:rPr>
  </w:style>
  <w:style w:type="paragraph" w:customStyle="1" w:styleId="main-right">
    <w:name w:val="main-right"/>
    <w:basedOn w:val="a"/>
    <w:rsid w:val="00B74B05"/>
    <w:pPr>
      <w:widowControl/>
      <w:spacing w:before="100" w:beforeAutospacing="1" w:after="100" w:afterAutospacing="1"/>
      <w:jc w:val="left"/>
    </w:pPr>
    <w:rPr>
      <w:rFonts w:ascii="宋体" w:eastAsia="宋体" w:hAnsi="宋体" w:cs="宋体"/>
      <w:kern w:val="0"/>
      <w:sz w:val="24"/>
      <w:szCs w:val="24"/>
    </w:rPr>
  </w:style>
  <w:style w:type="paragraph" w:customStyle="1" w:styleId="mainright-affiche">
    <w:name w:val="mainright-affiche"/>
    <w:basedOn w:val="a"/>
    <w:rsid w:val="00B74B05"/>
    <w:pPr>
      <w:widowControl/>
      <w:spacing w:before="100" w:beforeAutospacing="1" w:after="100" w:afterAutospacing="1"/>
      <w:jc w:val="left"/>
    </w:pPr>
    <w:rPr>
      <w:rFonts w:ascii="宋体" w:eastAsia="宋体" w:hAnsi="宋体" w:cs="宋体"/>
      <w:kern w:val="0"/>
      <w:sz w:val="24"/>
      <w:szCs w:val="24"/>
    </w:rPr>
  </w:style>
  <w:style w:type="paragraph" w:customStyle="1" w:styleId="mraffiche-list">
    <w:name w:val="mraffiche-list"/>
    <w:basedOn w:val="a"/>
    <w:rsid w:val="00B74B05"/>
    <w:pPr>
      <w:widowControl/>
      <w:jc w:val="left"/>
    </w:pPr>
    <w:rPr>
      <w:rFonts w:ascii="宋体" w:eastAsia="宋体" w:hAnsi="宋体" w:cs="宋体"/>
      <w:kern w:val="0"/>
      <w:sz w:val="24"/>
      <w:szCs w:val="24"/>
    </w:rPr>
  </w:style>
  <w:style w:type="paragraph" w:customStyle="1" w:styleId="main-right1">
    <w:name w:val="main-right1"/>
    <w:basedOn w:val="a"/>
    <w:rsid w:val="00B74B05"/>
    <w:pPr>
      <w:widowControl/>
      <w:spacing w:before="100" w:beforeAutospacing="1" w:after="100" w:afterAutospacing="1"/>
      <w:jc w:val="left"/>
    </w:pPr>
    <w:rPr>
      <w:rFonts w:ascii="宋体" w:eastAsia="宋体" w:hAnsi="宋体" w:cs="宋体"/>
      <w:kern w:val="0"/>
      <w:sz w:val="24"/>
      <w:szCs w:val="24"/>
    </w:rPr>
  </w:style>
  <w:style w:type="paragraph" w:customStyle="1" w:styleId="cmenu">
    <w:name w:val="cmenu"/>
    <w:basedOn w:val="a"/>
    <w:rsid w:val="00B74B05"/>
    <w:pPr>
      <w:widowControl/>
      <w:spacing w:before="100" w:beforeAutospacing="1" w:after="100" w:afterAutospacing="1"/>
      <w:jc w:val="left"/>
    </w:pPr>
    <w:rPr>
      <w:rFonts w:ascii="宋体" w:eastAsia="宋体" w:hAnsi="宋体" w:cs="宋体"/>
      <w:kern w:val="0"/>
      <w:sz w:val="24"/>
      <w:szCs w:val="24"/>
    </w:rPr>
  </w:style>
  <w:style w:type="paragraph" w:customStyle="1" w:styleId="cmenulist">
    <w:name w:val="cmenulist"/>
    <w:basedOn w:val="a"/>
    <w:rsid w:val="00B74B05"/>
    <w:pPr>
      <w:widowControl/>
      <w:spacing w:before="100" w:beforeAutospacing="1" w:after="100" w:afterAutospacing="1"/>
      <w:jc w:val="left"/>
    </w:pPr>
    <w:rPr>
      <w:rFonts w:ascii="宋体" w:eastAsia="宋体" w:hAnsi="宋体" w:cs="宋体"/>
      <w:kern w:val="0"/>
      <w:sz w:val="24"/>
      <w:szCs w:val="24"/>
    </w:rPr>
  </w:style>
  <w:style w:type="paragraph" w:customStyle="1" w:styleId="cmenu-bottom">
    <w:name w:val="cmenu-bottom"/>
    <w:basedOn w:val="a"/>
    <w:rsid w:val="00B74B05"/>
    <w:pPr>
      <w:widowControl/>
      <w:spacing w:before="100" w:beforeAutospacing="1" w:after="100" w:afterAutospacing="1"/>
      <w:jc w:val="left"/>
    </w:pPr>
    <w:rPr>
      <w:rFonts w:ascii="宋体" w:eastAsia="宋体" w:hAnsi="宋体" w:cs="宋体"/>
      <w:kern w:val="0"/>
      <w:sz w:val="6"/>
      <w:szCs w:val="6"/>
    </w:rPr>
  </w:style>
  <w:style w:type="paragraph" w:customStyle="1" w:styleId="mainright-affiche1">
    <w:name w:val="mainright-affiche1"/>
    <w:basedOn w:val="a"/>
    <w:rsid w:val="00B74B05"/>
    <w:pPr>
      <w:widowControl/>
      <w:spacing w:before="100" w:beforeAutospacing="1" w:after="100" w:afterAutospacing="1"/>
      <w:jc w:val="left"/>
    </w:pPr>
    <w:rPr>
      <w:rFonts w:ascii="宋体" w:eastAsia="宋体" w:hAnsi="宋体" w:cs="宋体"/>
      <w:kern w:val="0"/>
      <w:sz w:val="24"/>
      <w:szCs w:val="24"/>
    </w:rPr>
  </w:style>
  <w:style w:type="paragraph" w:customStyle="1" w:styleId="mraffiche-list1">
    <w:name w:val="mraffiche-list1"/>
    <w:basedOn w:val="a"/>
    <w:rsid w:val="00B74B05"/>
    <w:pPr>
      <w:widowControl/>
      <w:jc w:val="left"/>
    </w:pPr>
    <w:rPr>
      <w:rFonts w:ascii="宋体" w:eastAsia="宋体" w:hAnsi="宋体" w:cs="宋体"/>
      <w:kern w:val="0"/>
      <w:sz w:val="24"/>
      <w:szCs w:val="24"/>
    </w:rPr>
  </w:style>
  <w:style w:type="paragraph" w:customStyle="1" w:styleId="mainright-search">
    <w:name w:val="mainright-search"/>
    <w:basedOn w:val="a"/>
    <w:rsid w:val="00B74B05"/>
    <w:pPr>
      <w:widowControl/>
      <w:spacing w:before="100" w:beforeAutospacing="1" w:after="100" w:afterAutospacing="1"/>
      <w:jc w:val="left"/>
    </w:pPr>
    <w:rPr>
      <w:rFonts w:ascii="宋体" w:eastAsia="宋体" w:hAnsi="宋体" w:cs="宋体"/>
      <w:kern w:val="0"/>
      <w:sz w:val="24"/>
      <w:szCs w:val="24"/>
    </w:rPr>
  </w:style>
  <w:style w:type="paragraph" w:customStyle="1" w:styleId="search-inputarea">
    <w:name w:val="search-inputarea"/>
    <w:basedOn w:val="a"/>
    <w:rsid w:val="00B74B05"/>
    <w:pPr>
      <w:widowControl/>
      <w:spacing w:before="150"/>
      <w:jc w:val="left"/>
    </w:pPr>
    <w:rPr>
      <w:rFonts w:ascii="宋体" w:eastAsia="宋体" w:hAnsi="宋体" w:cs="宋体"/>
      <w:kern w:val="0"/>
      <w:sz w:val="24"/>
      <w:szCs w:val="24"/>
    </w:rPr>
  </w:style>
  <w:style w:type="paragraph" w:customStyle="1" w:styleId="search-inputbtn">
    <w:name w:val="search-inputbtn"/>
    <w:basedOn w:val="a"/>
    <w:rsid w:val="00B74B05"/>
    <w:pPr>
      <w:widowControl/>
      <w:spacing w:before="100" w:beforeAutospacing="1" w:after="100" w:afterAutospacing="1"/>
      <w:jc w:val="left"/>
    </w:pPr>
    <w:rPr>
      <w:rFonts w:ascii="宋体" w:eastAsia="宋体" w:hAnsi="宋体" w:cs="宋体"/>
      <w:kern w:val="0"/>
      <w:sz w:val="24"/>
      <w:szCs w:val="24"/>
    </w:rPr>
  </w:style>
  <w:style w:type="paragraph" w:customStyle="1" w:styleId="searchinput">
    <w:name w:val="searchinput"/>
    <w:basedOn w:val="a"/>
    <w:rsid w:val="00B74B05"/>
    <w:pPr>
      <w:widowControl/>
      <w:pBdr>
        <w:top w:val="single" w:sz="6" w:space="0" w:color="CCCCCC"/>
        <w:left w:val="single" w:sz="6" w:space="0" w:color="CCCCCC"/>
        <w:bottom w:val="single" w:sz="6" w:space="0" w:color="CCCCCC"/>
        <w:right w:val="single" w:sz="6" w:space="0" w:color="CCCCCC"/>
      </w:pBdr>
      <w:shd w:val="clear" w:color="auto" w:fill="FFFFFF"/>
      <w:spacing w:before="100" w:beforeAutospacing="1" w:after="100" w:afterAutospacing="1" w:line="240" w:lineRule="atLeast"/>
      <w:jc w:val="left"/>
    </w:pPr>
    <w:rPr>
      <w:rFonts w:ascii="宋体" w:eastAsia="宋体" w:hAnsi="宋体" w:cs="宋体"/>
      <w:kern w:val="0"/>
      <w:sz w:val="24"/>
      <w:szCs w:val="24"/>
    </w:rPr>
  </w:style>
  <w:style w:type="paragraph" w:customStyle="1" w:styleId="mainright-neiwanglink">
    <w:name w:val="mainright-neiwanglink"/>
    <w:basedOn w:val="a"/>
    <w:rsid w:val="00B74B05"/>
    <w:pPr>
      <w:widowControl/>
      <w:spacing w:before="100" w:beforeAutospacing="1" w:after="100" w:afterAutospacing="1"/>
      <w:jc w:val="left"/>
    </w:pPr>
    <w:rPr>
      <w:rFonts w:ascii="宋体" w:eastAsia="宋体" w:hAnsi="宋体" w:cs="宋体"/>
      <w:kern w:val="0"/>
      <w:sz w:val="24"/>
      <w:szCs w:val="24"/>
    </w:rPr>
  </w:style>
  <w:style w:type="paragraph" w:customStyle="1" w:styleId="mrneiwangling-list">
    <w:name w:val="mrneiwangling-list"/>
    <w:basedOn w:val="a"/>
    <w:rsid w:val="00B74B05"/>
    <w:pPr>
      <w:widowControl/>
      <w:pBdr>
        <w:top w:val="single" w:sz="2" w:space="0" w:color="B0CDF1"/>
        <w:left w:val="single" w:sz="6" w:space="0" w:color="B0CDF1"/>
        <w:bottom w:val="single" w:sz="6" w:space="0" w:color="B0CDF1"/>
        <w:right w:val="single" w:sz="6" w:space="0" w:color="B0CDF1"/>
      </w:pBdr>
      <w:spacing w:before="100" w:beforeAutospacing="1" w:after="100" w:afterAutospacing="1"/>
      <w:jc w:val="left"/>
    </w:pPr>
    <w:rPr>
      <w:rFonts w:ascii="宋体" w:eastAsia="宋体" w:hAnsi="宋体" w:cs="宋体"/>
      <w:kern w:val="0"/>
      <w:sz w:val="24"/>
      <w:szCs w:val="24"/>
    </w:rPr>
  </w:style>
  <w:style w:type="paragraph" w:customStyle="1" w:styleId="mainright-recently">
    <w:name w:val="mainright-recently"/>
    <w:basedOn w:val="a"/>
    <w:rsid w:val="00B74B05"/>
    <w:pPr>
      <w:widowControl/>
      <w:spacing w:before="100" w:beforeAutospacing="1" w:after="100" w:afterAutospacing="1"/>
      <w:jc w:val="left"/>
    </w:pPr>
    <w:rPr>
      <w:rFonts w:ascii="宋体" w:eastAsia="宋体" w:hAnsi="宋体" w:cs="宋体"/>
      <w:kern w:val="0"/>
      <w:sz w:val="24"/>
      <w:szCs w:val="24"/>
    </w:rPr>
  </w:style>
  <w:style w:type="paragraph" w:customStyle="1" w:styleId="mrrecently-list">
    <w:name w:val="mrrecently-list"/>
    <w:basedOn w:val="a"/>
    <w:rsid w:val="00B74B05"/>
    <w:pPr>
      <w:widowControl/>
      <w:pBdr>
        <w:top w:val="single" w:sz="2" w:space="8" w:color="AECCF0"/>
        <w:left w:val="single" w:sz="6" w:space="0" w:color="AECCF0"/>
        <w:bottom w:val="single" w:sz="6" w:space="0" w:color="AECCF0"/>
        <w:right w:val="single" w:sz="6" w:space="0" w:color="AECCF0"/>
      </w:pBdr>
      <w:spacing w:before="100" w:beforeAutospacing="1" w:after="100" w:afterAutospacing="1"/>
      <w:jc w:val="left"/>
    </w:pPr>
    <w:rPr>
      <w:rFonts w:ascii="宋体" w:eastAsia="宋体" w:hAnsi="宋体" w:cs="宋体"/>
      <w:kern w:val="0"/>
      <w:sz w:val="24"/>
      <w:szCs w:val="24"/>
    </w:rPr>
  </w:style>
  <w:style w:type="paragraph" w:customStyle="1" w:styleId="location">
    <w:name w:val="location"/>
    <w:basedOn w:val="a"/>
    <w:rsid w:val="00B74B05"/>
    <w:pPr>
      <w:widowControl/>
      <w:spacing w:before="100" w:beforeAutospacing="1" w:after="100" w:afterAutospacing="1"/>
      <w:jc w:val="left"/>
    </w:pPr>
    <w:rPr>
      <w:rFonts w:ascii="宋体" w:eastAsia="宋体" w:hAnsi="宋体" w:cs="宋体"/>
      <w:kern w:val="0"/>
      <w:sz w:val="24"/>
      <w:szCs w:val="24"/>
    </w:rPr>
  </w:style>
  <w:style w:type="paragraph" w:customStyle="1" w:styleId="column-left-area">
    <w:name w:val="column-left-area"/>
    <w:basedOn w:val="a"/>
    <w:rsid w:val="00B74B05"/>
    <w:pPr>
      <w:widowControl/>
      <w:shd w:val="clear" w:color="auto" w:fill="F5F4F4"/>
      <w:spacing w:before="100" w:beforeAutospacing="1" w:after="100" w:afterAutospacing="1"/>
      <w:jc w:val="left"/>
    </w:pPr>
    <w:rPr>
      <w:rFonts w:ascii="宋体" w:eastAsia="宋体" w:hAnsi="宋体" w:cs="宋体"/>
      <w:kern w:val="0"/>
      <w:sz w:val="24"/>
      <w:szCs w:val="24"/>
    </w:rPr>
  </w:style>
  <w:style w:type="paragraph" w:customStyle="1" w:styleId="leftarea-cen">
    <w:name w:val="leftarea-cen"/>
    <w:basedOn w:val="a"/>
    <w:rsid w:val="00B74B05"/>
    <w:pPr>
      <w:widowControl/>
      <w:shd w:val="clear" w:color="auto" w:fill="FFFFFF"/>
      <w:ind w:left="120" w:right="120"/>
      <w:jc w:val="left"/>
    </w:pPr>
    <w:rPr>
      <w:rFonts w:ascii="宋体" w:eastAsia="宋体" w:hAnsi="宋体" w:cs="宋体"/>
      <w:kern w:val="0"/>
      <w:sz w:val="24"/>
      <w:szCs w:val="24"/>
    </w:rPr>
  </w:style>
  <w:style w:type="paragraph" w:customStyle="1" w:styleId="page">
    <w:name w:val="page"/>
    <w:basedOn w:val="a"/>
    <w:rsid w:val="00B74B05"/>
    <w:pPr>
      <w:widowControl/>
      <w:pBdr>
        <w:top w:val="single" w:sz="6" w:space="0" w:color="D8D8D8"/>
        <w:left w:val="single" w:sz="6" w:space="0" w:color="D8D8D8"/>
        <w:bottom w:val="single" w:sz="6" w:space="0" w:color="D8D8D8"/>
        <w:right w:val="single" w:sz="6" w:space="0" w:color="D8D8D8"/>
      </w:pBdr>
      <w:shd w:val="clear" w:color="auto" w:fill="F4F4F4"/>
      <w:spacing w:before="100" w:beforeAutospacing="1" w:after="100" w:afterAutospacing="1" w:line="360" w:lineRule="atLeast"/>
      <w:jc w:val="left"/>
    </w:pPr>
    <w:rPr>
      <w:rFonts w:ascii="宋体" w:eastAsia="宋体" w:hAnsi="宋体" w:cs="宋体"/>
      <w:kern w:val="0"/>
      <w:sz w:val="24"/>
      <w:szCs w:val="24"/>
    </w:rPr>
  </w:style>
  <w:style w:type="paragraph" w:customStyle="1" w:styleId="column-cen-title">
    <w:name w:val="column-cen-title"/>
    <w:basedOn w:val="a"/>
    <w:rsid w:val="00B74B05"/>
    <w:pPr>
      <w:widowControl/>
      <w:spacing w:line="600" w:lineRule="atLeast"/>
      <w:jc w:val="center"/>
    </w:pPr>
    <w:rPr>
      <w:rFonts w:ascii="宋体" w:eastAsia="宋体" w:hAnsi="宋体" w:cs="宋体"/>
      <w:b/>
      <w:bCs/>
      <w:kern w:val="0"/>
      <w:sz w:val="27"/>
      <w:szCs w:val="27"/>
    </w:rPr>
  </w:style>
  <w:style w:type="paragraph" w:customStyle="1" w:styleId="column-cen-canshu">
    <w:name w:val="column-cen-canshu"/>
    <w:basedOn w:val="a"/>
    <w:rsid w:val="00B74B05"/>
    <w:pPr>
      <w:widowControl/>
      <w:pBdr>
        <w:bottom w:val="single" w:sz="6" w:space="0" w:color="E0E0E0"/>
      </w:pBdr>
      <w:spacing w:line="300" w:lineRule="atLeast"/>
      <w:jc w:val="center"/>
    </w:pPr>
    <w:rPr>
      <w:rFonts w:ascii="宋体" w:eastAsia="宋体" w:hAnsi="宋体" w:cs="宋体"/>
      <w:kern w:val="0"/>
      <w:sz w:val="24"/>
      <w:szCs w:val="24"/>
    </w:rPr>
  </w:style>
  <w:style w:type="paragraph" w:customStyle="1" w:styleId="column-cen-area">
    <w:name w:val="column-cen-area"/>
    <w:basedOn w:val="a"/>
    <w:rsid w:val="00B74B05"/>
    <w:pPr>
      <w:widowControl/>
      <w:spacing w:line="360" w:lineRule="atLeast"/>
      <w:jc w:val="left"/>
    </w:pPr>
    <w:rPr>
      <w:rFonts w:ascii="宋体" w:eastAsia="宋体" w:hAnsi="宋体" w:cs="宋体"/>
      <w:kern w:val="0"/>
      <w:szCs w:val="21"/>
    </w:rPr>
  </w:style>
  <w:style w:type="paragraph" w:customStyle="1" w:styleId="link">
    <w:name w:val="link"/>
    <w:basedOn w:val="a"/>
    <w:rsid w:val="00B74B05"/>
    <w:pPr>
      <w:widowControl/>
      <w:spacing w:before="100" w:beforeAutospacing="1" w:after="100" w:afterAutospacing="1"/>
      <w:jc w:val="left"/>
    </w:pPr>
    <w:rPr>
      <w:rFonts w:ascii="宋体" w:eastAsia="宋体" w:hAnsi="宋体" w:cs="宋体"/>
      <w:kern w:val="0"/>
      <w:sz w:val="24"/>
      <w:szCs w:val="24"/>
    </w:rPr>
  </w:style>
  <w:style w:type="paragraph" w:customStyle="1" w:styleId="link-area">
    <w:name w:val="link-area"/>
    <w:basedOn w:val="a"/>
    <w:rsid w:val="00B74B05"/>
    <w:pPr>
      <w:widowControl/>
      <w:spacing w:before="750" w:after="750"/>
      <w:jc w:val="center"/>
    </w:pPr>
    <w:rPr>
      <w:rFonts w:ascii="宋体" w:eastAsia="宋体" w:hAnsi="宋体" w:cs="宋体"/>
      <w:kern w:val="0"/>
      <w:sz w:val="24"/>
      <w:szCs w:val="24"/>
    </w:rPr>
  </w:style>
  <w:style w:type="paragraph" w:customStyle="1" w:styleId="city">
    <w:name w:val="city"/>
    <w:basedOn w:val="a"/>
    <w:rsid w:val="00B74B05"/>
    <w:pPr>
      <w:widowControl/>
      <w:jc w:val="left"/>
    </w:pPr>
    <w:rPr>
      <w:rFonts w:ascii="宋体" w:eastAsia="宋体" w:hAnsi="宋体" w:cs="宋体"/>
      <w:kern w:val="0"/>
      <w:sz w:val="24"/>
      <w:szCs w:val="24"/>
    </w:rPr>
  </w:style>
  <w:style w:type="paragraph" w:customStyle="1" w:styleId="citylist">
    <w:name w:val="citylist"/>
    <w:basedOn w:val="a"/>
    <w:rsid w:val="00B74B05"/>
    <w:pPr>
      <w:widowControl/>
      <w:jc w:val="center"/>
    </w:pPr>
    <w:rPr>
      <w:rFonts w:ascii="宋体" w:eastAsia="宋体" w:hAnsi="宋体" w:cs="宋体"/>
      <w:kern w:val="0"/>
      <w:sz w:val="24"/>
      <w:szCs w:val="24"/>
    </w:rPr>
  </w:style>
  <w:style w:type="paragraph" w:customStyle="1" w:styleId="copyright">
    <w:name w:val="copyright"/>
    <w:basedOn w:val="a"/>
    <w:rsid w:val="00B74B05"/>
    <w:pPr>
      <w:widowControl/>
      <w:pBdr>
        <w:bottom w:val="single" w:sz="6" w:space="8" w:color="E3E3E3"/>
      </w:pBdr>
      <w:shd w:val="clear" w:color="auto" w:fill="F7F7F7"/>
      <w:spacing w:before="100" w:beforeAutospacing="1" w:after="100" w:afterAutospacing="1" w:line="360" w:lineRule="atLeast"/>
      <w:jc w:val="center"/>
    </w:pPr>
    <w:rPr>
      <w:rFonts w:ascii="宋体" w:eastAsia="宋体" w:hAnsi="宋体" w:cs="宋体"/>
      <w:kern w:val="0"/>
      <w:sz w:val="24"/>
      <w:szCs w:val="24"/>
    </w:rPr>
  </w:style>
  <w:style w:type="paragraph" w:customStyle="1" w:styleId="fuwu1">
    <w:name w:val="fuwu1"/>
    <w:basedOn w:val="a"/>
    <w:rsid w:val="00B74B05"/>
    <w:pPr>
      <w:widowControl/>
      <w:jc w:val="left"/>
    </w:pPr>
    <w:rPr>
      <w:rFonts w:ascii="宋体" w:eastAsia="宋体" w:hAnsi="宋体" w:cs="宋体"/>
      <w:kern w:val="0"/>
      <w:sz w:val="24"/>
      <w:szCs w:val="24"/>
    </w:rPr>
  </w:style>
  <w:style w:type="paragraph" w:styleId="a8">
    <w:name w:val="Balloon Text"/>
    <w:basedOn w:val="a"/>
    <w:link w:val="Char1"/>
    <w:uiPriority w:val="99"/>
    <w:semiHidden/>
    <w:unhideWhenUsed/>
    <w:rsid w:val="00B74B05"/>
    <w:rPr>
      <w:sz w:val="18"/>
      <w:szCs w:val="18"/>
    </w:rPr>
  </w:style>
  <w:style w:type="character" w:customStyle="1" w:styleId="Char1">
    <w:name w:val="批注框文本 Char"/>
    <w:basedOn w:val="a0"/>
    <w:link w:val="a8"/>
    <w:uiPriority w:val="99"/>
    <w:semiHidden/>
    <w:rsid w:val="00B74B05"/>
    <w:rPr>
      <w:sz w:val="18"/>
      <w:szCs w:val="18"/>
    </w:rPr>
  </w:style>
  <w:style w:type="paragraph" w:customStyle="1" w:styleId="1">
    <w:name w:val="正文1"/>
    <w:rsid w:val="00E331EB"/>
    <w:pPr>
      <w:jc w:val="both"/>
    </w:pPr>
    <w:rPr>
      <w:rFonts w:ascii="Times New Roman" w:eastAsia="宋体" w:hAnsi="Times New Roman" w:cs="Times New Roman"/>
      <w:szCs w:val="21"/>
    </w:rPr>
  </w:style>
  <w:style w:type="character" w:styleId="a9">
    <w:name w:val="Strong"/>
    <w:basedOn w:val="a0"/>
    <w:uiPriority w:val="22"/>
    <w:qFormat/>
    <w:rsid w:val="00191C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766425">
      <w:bodyDiv w:val="1"/>
      <w:marLeft w:val="0"/>
      <w:marRight w:val="0"/>
      <w:marTop w:val="0"/>
      <w:marBottom w:val="0"/>
      <w:divBdr>
        <w:top w:val="none" w:sz="0" w:space="0" w:color="auto"/>
        <w:left w:val="none" w:sz="0" w:space="0" w:color="auto"/>
        <w:bottom w:val="none" w:sz="0" w:space="0" w:color="auto"/>
        <w:right w:val="none" w:sz="0" w:space="0" w:color="auto"/>
      </w:divBdr>
      <w:divsChild>
        <w:div w:id="1835953200">
          <w:marLeft w:val="0"/>
          <w:marRight w:val="0"/>
          <w:marTop w:val="0"/>
          <w:marBottom w:val="0"/>
          <w:divBdr>
            <w:top w:val="none" w:sz="0" w:space="0" w:color="auto"/>
            <w:left w:val="none" w:sz="0" w:space="0" w:color="auto"/>
            <w:bottom w:val="none" w:sz="0" w:space="0" w:color="auto"/>
            <w:right w:val="none" w:sz="0" w:space="0" w:color="auto"/>
          </w:divBdr>
          <w:divsChild>
            <w:div w:id="2034068574">
              <w:marLeft w:val="0"/>
              <w:marRight w:val="0"/>
              <w:marTop w:val="0"/>
              <w:marBottom w:val="0"/>
              <w:divBdr>
                <w:top w:val="none" w:sz="0" w:space="0" w:color="auto"/>
                <w:left w:val="none" w:sz="0" w:space="0" w:color="auto"/>
                <w:bottom w:val="none" w:sz="0" w:space="0" w:color="auto"/>
                <w:right w:val="none" w:sz="0" w:space="0" w:color="auto"/>
              </w:divBdr>
              <w:divsChild>
                <w:div w:id="1511527025">
                  <w:marLeft w:val="0"/>
                  <w:marRight w:val="0"/>
                  <w:marTop w:val="0"/>
                  <w:marBottom w:val="0"/>
                  <w:divBdr>
                    <w:top w:val="none" w:sz="0" w:space="0" w:color="auto"/>
                    <w:left w:val="none" w:sz="0" w:space="0" w:color="auto"/>
                    <w:bottom w:val="none" w:sz="0" w:space="0" w:color="auto"/>
                    <w:right w:val="none" w:sz="0" w:space="0" w:color="auto"/>
                  </w:divBdr>
                  <w:divsChild>
                    <w:div w:id="381439781">
                      <w:marLeft w:val="0"/>
                      <w:marRight w:val="0"/>
                      <w:marTop w:val="0"/>
                      <w:marBottom w:val="0"/>
                      <w:divBdr>
                        <w:top w:val="none" w:sz="0" w:space="0" w:color="auto"/>
                        <w:left w:val="none" w:sz="0" w:space="0" w:color="auto"/>
                        <w:bottom w:val="none" w:sz="0" w:space="0" w:color="auto"/>
                        <w:right w:val="none" w:sz="0" w:space="0" w:color="auto"/>
                      </w:divBdr>
                      <w:divsChild>
                        <w:div w:id="887573013">
                          <w:marLeft w:val="120"/>
                          <w:marRight w:val="120"/>
                          <w:marTop w:val="0"/>
                          <w:marBottom w:val="0"/>
                          <w:divBdr>
                            <w:top w:val="none" w:sz="0" w:space="0" w:color="auto"/>
                            <w:left w:val="none" w:sz="0" w:space="0" w:color="auto"/>
                            <w:bottom w:val="none" w:sz="0" w:space="0" w:color="auto"/>
                            <w:right w:val="none" w:sz="0" w:space="0" w:color="auto"/>
                          </w:divBdr>
                          <w:divsChild>
                            <w:div w:id="193254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5135754">
      <w:bodyDiv w:val="1"/>
      <w:marLeft w:val="0"/>
      <w:marRight w:val="0"/>
      <w:marTop w:val="0"/>
      <w:marBottom w:val="0"/>
      <w:divBdr>
        <w:top w:val="none" w:sz="0" w:space="0" w:color="auto"/>
        <w:left w:val="none" w:sz="0" w:space="0" w:color="auto"/>
        <w:bottom w:val="none" w:sz="0" w:space="0" w:color="auto"/>
        <w:right w:val="none" w:sz="0" w:space="0" w:color="auto"/>
      </w:divBdr>
    </w:div>
    <w:div w:id="761797318">
      <w:bodyDiv w:val="1"/>
      <w:marLeft w:val="0"/>
      <w:marRight w:val="0"/>
      <w:marTop w:val="0"/>
      <w:marBottom w:val="0"/>
      <w:divBdr>
        <w:top w:val="none" w:sz="0" w:space="0" w:color="auto"/>
        <w:left w:val="none" w:sz="0" w:space="0" w:color="auto"/>
        <w:bottom w:val="none" w:sz="0" w:space="0" w:color="auto"/>
        <w:right w:val="none" w:sz="0" w:space="0" w:color="auto"/>
      </w:divBdr>
      <w:divsChild>
        <w:div w:id="1630622593">
          <w:marLeft w:val="0"/>
          <w:marRight w:val="0"/>
          <w:marTop w:val="0"/>
          <w:marBottom w:val="0"/>
          <w:divBdr>
            <w:top w:val="none" w:sz="0" w:space="0" w:color="auto"/>
            <w:left w:val="none" w:sz="0" w:space="0" w:color="auto"/>
            <w:bottom w:val="none" w:sz="0" w:space="0" w:color="auto"/>
            <w:right w:val="none" w:sz="0" w:space="0" w:color="auto"/>
          </w:divBdr>
          <w:divsChild>
            <w:div w:id="1358432813">
              <w:marLeft w:val="0"/>
              <w:marRight w:val="0"/>
              <w:marTop w:val="0"/>
              <w:marBottom w:val="0"/>
              <w:divBdr>
                <w:top w:val="none" w:sz="0" w:space="0" w:color="auto"/>
                <w:left w:val="none" w:sz="0" w:space="0" w:color="auto"/>
                <w:bottom w:val="none" w:sz="0" w:space="0" w:color="auto"/>
                <w:right w:val="none" w:sz="0" w:space="0" w:color="auto"/>
              </w:divBdr>
              <w:divsChild>
                <w:div w:id="1529488435">
                  <w:marLeft w:val="0"/>
                  <w:marRight w:val="0"/>
                  <w:marTop w:val="0"/>
                  <w:marBottom w:val="0"/>
                  <w:divBdr>
                    <w:top w:val="none" w:sz="0" w:space="0" w:color="auto"/>
                    <w:left w:val="none" w:sz="0" w:space="0" w:color="auto"/>
                    <w:bottom w:val="none" w:sz="0" w:space="0" w:color="auto"/>
                    <w:right w:val="none" w:sz="0" w:space="0" w:color="auto"/>
                  </w:divBdr>
                  <w:divsChild>
                    <w:div w:id="1522623117">
                      <w:marLeft w:val="0"/>
                      <w:marRight w:val="0"/>
                      <w:marTop w:val="0"/>
                      <w:marBottom w:val="0"/>
                      <w:divBdr>
                        <w:top w:val="none" w:sz="0" w:space="0" w:color="auto"/>
                        <w:left w:val="none" w:sz="0" w:space="0" w:color="auto"/>
                        <w:bottom w:val="none" w:sz="0" w:space="0" w:color="auto"/>
                        <w:right w:val="none" w:sz="0" w:space="0" w:color="auto"/>
                      </w:divBdr>
                      <w:divsChild>
                        <w:div w:id="623080659">
                          <w:marLeft w:val="120"/>
                          <w:marRight w:val="120"/>
                          <w:marTop w:val="0"/>
                          <w:marBottom w:val="0"/>
                          <w:divBdr>
                            <w:top w:val="none" w:sz="0" w:space="0" w:color="auto"/>
                            <w:left w:val="none" w:sz="0" w:space="0" w:color="auto"/>
                            <w:bottom w:val="none" w:sz="0" w:space="0" w:color="auto"/>
                            <w:right w:val="none" w:sz="0" w:space="0" w:color="auto"/>
                          </w:divBdr>
                          <w:divsChild>
                            <w:div w:id="189458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3244697">
      <w:bodyDiv w:val="1"/>
      <w:marLeft w:val="0"/>
      <w:marRight w:val="0"/>
      <w:marTop w:val="0"/>
      <w:marBottom w:val="0"/>
      <w:divBdr>
        <w:top w:val="none" w:sz="0" w:space="0" w:color="auto"/>
        <w:left w:val="none" w:sz="0" w:space="0" w:color="auto"/>
        <w:bottom w:val="none" w:sz="0" w:space="0" w:color="auto"/>
        <w:right w:val="none" w:sz="0" w:space="0" w:color="auto"/>
      </w:divBdr>
      <w:divsChild>
        <w:div w:id="1439761403">
          <w:marLeft w:val="0"/>
          <w:marRight w:val="0"/>
          <w:marTop w:val="0"/>
          <w:marBottom w:val="0"/>
          <w:divBdr>
            <w:top w:val="none" w:sz="0" w:space="0" w:color="auto"/>
            <w:left w:val="none" w:sz="0" w:space="0" w:color="auto"/>
            <w:bottom w:val="none" w:sz="0" w:space="0" w:color="auto"/>
            <w:right w:val="none" w:sz="0" w:space="0" w:color="auto"/>
          </w:divBdr>
          <w:divsChild>
            <w:div w:id="1475635573">
              <w:marLeft w:val="0"/>
              <w:marRight w:val="0"/>
              <w:marTop w:val="0"/>
              <w:marBottom w:val="0"/>
              <w:divBdr>
                <w:top w:val="none" w:sz="0" w:space="0" w:color="auto"/>
                <w:left w:val="none" w:sz="0" w:space="0" w:color="auto"/>
                <w:bottom w:val="none" w:sz="0" w:space="0" w:color="auto"/>
                <w:right w:val="none" w:sz="0" w:space="0" w:color="auto"/>
              </w:divBdr>
              <w:divsChild>
                <w:div w:id="777025186">
                  <w:marLeft w:val="0"/>
                  <w:marRight w:val="0"/>
                  <w:marTop w:val="0"/>
                  <w:marBottom w:val="0"/>
                  <w:divBdr>
                    <w:top w:val="none" w:sz="0" w:space="0" w:color="auto"/>
                    <w:left w:val="none" w:sz="0" w:space="0" w:color="auto"/>
                    <w:bottom w:val="none" w:sz="0" w:space="0" w:color="auto"/>
                    <w:right w:val="none" w:sz="0" w:space="0" w:color="auto"/>
                  </w:divBdr>
                  <w:divsChild>
                    <w:div w:id="1911771333">
                      <w:marLeft w:val="0"/>
                      <w:marRight w:val="0"/>
                      <w:marTop w:val="0"/>
                      <w:marBottom w:val="0"/>
                      <w:divBdr>
                        <w:top w:val="none" w:sz="0" w:space="0" w:color="auto"/>
                        <w:left w:val="none" w:sz="0" w:space="0" w:color="auto"/>
                        <w:bottom w:val="none" w:sz="0" w:space="0" w:color="auto"/>
                        <w:right w:val="none" w:sz="0" w:space="0" w:color="auto"/>
                      </w:divBdr>
                      <w:divsChild>
                        <w:div w:id="725296180">
                          <w:marLeft w:val="120"/>
                          <w:marRight w:val="120"/>
                          <w:marTop w:val="0"/>
                          <w:marBottom w:val="0"/>
                          <w:divBdr>
                            <w:top w:val="none" w:sz="0" w:space="0" w:color="auto"/>
                            <w:left w:val="none" w:sz="0" w:space="0" w:color="auto"/>
                            <w:bottom w:val="none" w:sz="0" w:space="0" w:color="auto"/>
                            <w:right w:val="none" w:sz="0" w:space="0" w:color="auto"/>
                          </w:divBdr>
                          <w:divsChild>
                            <w:div w:id="288247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0778313">
      <w:bodyDiv w:val="1"/>
      <w:marLeft w:val="0"/>
      <w:marRight w:val="0"/>
      <w:marTop w:val="0"/>
      <w:marBottom w:val="0"/>
      <w:divBdr>
        <w:top w:val="none" w:sz="0" w:space="0" w:color="auto"/>
        <w:left w:val="none" w:sz="0" w:space="0" w:color="auto"/>
        <w:bottom w:val="none" w:sz="0" w:space="0" w:color="auto"/>
        <w:right w:val="none" w:sz="0" w:space="0" w:color="auto"/>
      </w:divBdr>
    </w:div>
    <w:div w:id="1560828131">
      <w:bodyDiv w:val="1"/>
      <w:marLeft w:val="0"/>
      <w:marRight w:val="0"/>
      <w:marTop w:val="0"/>
      <w:marBottom w:val="0"/>
      <w:divBdr>
        <w:top w:val="none" w:sz="0" w:space="0" w:color="auto"/>
        <w:left w:val="none" w:sz="0" w:space="0" w:color="auto"/>
        <w:bottom w:val="none" w:sz="0" w:space="0" w:color="auto"/>
        <w:right w:val="none" w:sz="0" w:space="0" w:color="auto"/>
      </w:divBdr>
      <w:divsChild>
        <w:div w:id="2063866157">
          <w:marLeft w:val="0"/>
          <w:marRight w:val="0"/>
          <w:marTop w:val="0"/>
          <w:marBottom w:val="0"/>
          <w:divBdr>
            <w:top w:val="none" w:sz="0" w:space="0" w:color="auto"/>
            <w:left w:val="none" w:sz="0" w:space="0" w:color="auto"/>
            <w:bottom w:val="none" w:sz="0" w:space="0" w:color="auto"/>
            <w:right w:val="none" w:sz="0" w:space="0" w:color="auto"/>
          </w:divBdr>
          <w:divsChild>
            <w:div w:id="2050454689">
              <w:marLeft w:val="0"/>
              <w:marRight w:val="0"/>
              <w:marTop w:val="0"/>
              <w:marBottom w:val="0"/>
              <w:divBdr>
                <w:top w:val="none" w:sz="0" w:space="0" w:color="auto"/>
                <w:left w:val="none" w:sz="0" w:space="0" w:color="auto"/>
                <w:bottom w:val="none" w:sz="0" w:space="0" w:color="auto"/>
                <w:right w:val="none" w:sz="0" w:space="0" w:color="auto"/>
              </w:divBdr>
              <w:divsChild>
                <w:div w:id="1371371608">
                  <w:marLeft w:val="0"/>
                  <w:marRight w:val="0"/>
                  <w:marTop w:val="0"/>
                  <w:marBottom w:val="0"/>
                  <w:divBdr>
                    <w:top w:val="none" w:sz="0" w:space="0" w:color="auto"/>
                    <w:left w:val="none" w:sz="0" w:space="0" w:color="auto"/>
                    <w:bottom w:val="none" w:sz="0" w:space="0" w:color="auto"/>
                    <w:right w:val="none" w:sz="0" w:space="0" w:color="auto"/>
                  </w:divBdr>
                  <w:divsChild>
                    <w:div w:id="1411200239">
                      <w:marLeft w:val="0"/>
                      <w:marRight w:val="0"/>
                      <w:marTop w:val="0"/>
                      <w:marBottom w:val="0"/>
                      <w:divBdr>
                        <w:top w:val="none" w:sz="0" w:space="0" w:color="auto"/>
                        <w:left w:val="none" w:sz="0" w:space="0" w:color="auto"/>
                        <w:bottom w:val="none" w:sz="0" w:space="0" w:color="auto"/>
                        <w:right w:val="none" w:sz="0" w:space="0" w:color="auto"/>
                      </w:divBdr>
                      <w:divsChild>
                        <w:div w:id="783113228">
                          <w:marLeft w:val="120"/>
                          <w:marRight w:val="120"/>
                          <w:marTop w:val="0"/>
                          <w:marBottom w:val="0"/>
                          <w:divBdr>
                            <w:top w:val="none" w:sz="0" w:space="0" w:color="auto"/>
                            <w:left w:val="none" w:sz="0" w:space="0" w:color="auto"/>
                            <w:bottom w:val="none" w:sz="0" w:space="0" w:color="auto"/>
                            <w:right w:val="none" w:sz="0" w:space="0" w:color="auto"/>
                          </w:divBdr>
                          <w:divsChild>
                            <w:div w:id="717898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3202046">
      <w:bodyDiv w:val="1"/>
      <w:marLeft w:val="0"/>
      <w:marRight w:val="0"/>
      <w:marTop w:val="0"/>
      <w:marBottom w:val="0"/>
      <w:divBdr>
        <w:top w:val="none" w:sz="0" w:space="0" w:color="auto"/>
        <w:left w:val="none" w:sz="0" w:space="0" w:color="auto"/>
        <w:bottom w:val="none" w:sz="0" w:space="0" w:color="auto"/>
        <w:right w:val="none" w:sz="0" w:space="0" w:color="auto"/>
      </w:divBdr>
      <w:divsChild>
        <w:div w:id="2090226924">
          <w:marLeft w:val="0"/>
          <w:marRight w:val="0"/>
          <w:marTop w:val="0"/>
          <w:marBottom w:val="0"/>
          <w:divBdr>
            <w:top w:val="none" w:sz="0" w:space="0" w:color="auto"/>
            <w:left w:val="none" w:sz="0" w:space="0" w:color="auto"/>
            <w:bottom w:val="none" w:sz="0" w:space="0" w:color="auto"/>
            <w:right w:val="none" w:sz="0" w:space="0" w:color="auto"/>
          </w:divBdr>
          <w:divsChild>
            <w:div w:id="2072650724">
              <w:marLeft w:val="0"/>
              <w:marRight w:val="0"/>
              <w:marTop w:val="0"/>
              <w:marBottom w:val="0"/>
              <w:divBdr>
                <w:top w:val="none" w:sz="0" w:space="0" w:color="auto"/>
                <w:left w:val="none" w:sz="0" w:space="0" w:color="auto"/>
                <w:bottom w:val="none" w:sz="0" w:space="0" w:color="auto"/>
                <w:right w:val="none" w:sz="0" w:space="0" w:color="auto"/>
              </w:divBdr>
              <w:divsChild>
                <w:div w:id="1479029386">
                  <w:marLeft w:val="0"/>
                  <w:marRight w:val="0"/>
                  <w:marTop w:val="0"/>
                  <w:marBottom w:val="0"/>
                  <w:divBdr>
                    <w:top w:val="none" w:sz="0" w:space="0" w:color="auto"/>
                    <w:left w:val="none" w:sz="0" w:space="0" w:color="auto"/>
                    <w:bottom w:val="none" w:sz="0" w:space="0" w:color="auto"/>
                    <w:right w:val="none" w:sz="0" w:space="0" w:color="auto"/>
                  </w:divBdr>
                  <w:divsChild>
                    <w:div w:id="1708020344">
                      <w:marLeft w:val="0"/>
                      <w:marRight w:val="0"/>
                      <w:marTop w:val="0"/>
                      <w:marBottom w:val="0"/>
                      <w:divBdr>
                        <w:top w:val="none" w:sz="0" w:space="0" w:color="auto"/>
                        <w:left w:val="none" w:sz="0" w:space="0" w:color="auto"/>
                        <w:bottom w:val="none" w:sz="0" w:space="0" w:color="auto"/>
                        <w:right w:val="none" w:sz="0" w:space="0" w:color="auto"/>
                      </w:divBdr>
                      <w:divsChild>
                        <w:div w:id="610479477">
                          <w:marLeft w:val="120"/>
                          <w:marRight w:val="120"/>
                          <w:marTop w:val="0"/>
                          <w:marBottom w:val="0"/>
                          <w:divBdr>
                            <w:top w:val="none" w:sz="0" w:space="0" w:color="auto"/>
                            <w:left w:val="none" w:sz="0" w:space="0" w:color="auto"/>
                            <w:bottom w:val="none" w:sz="0" w:space="0" w:color="auto"/>
                            <w:right w:val="none" w:sz="0" w:space="0" w:color="auto"/>
                          </w:divBdr>
                          <w:divsChild>
                            <w:div w:id="1129592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9556880">
      <w:bodyDiv w:val="1"/>
      <w:marLeft w:val="0"/>
      <w:marRight w:val="0"/>
      <w:marTop w:val="0"/>
      <w:marBottom w:val="0"/>
      <w:divBdr>
        <w:top w:val="none" w:sz="0" w:space="0" w:color="auto"/>
        <w:left w:val="none" w:sz="0" w:space="0" w:color="auto"/>
        <w:bottom w:val="none" w:sz="0" w:space="0" w:color="auto"/>
        <w:right w:val="none" w:sz="0" w:space="0" w:color="auto"/>
      </w:divBdr>
      <w:divsChild>
        <w:div w:id="302849693">
          <w:marLeft w:val="0"/>
          <w:marRight w:val="0"/>
          <w:marTop w:val="0"/>
          <w:marBottom w:val="0"/>
          <w:divBdr>
            <w:top w:val="none" w:sz="0" w:space="0" w:color="auto"/>
            <w:left w:val="none" w:sz="0" w:space="0" w:color="auto"/>
            <w:bottom w:val="none" w:sz="0" w:space="0" w:color="auto"/>
            <w:right w:val="none" w:sz="0" w:space="0" w:color="auto"/>
          </w:divBdr>
          <w:divsChild>
            <w:div w:id="2042124505">
              <w:marLeft w:val="0"/>
              <w:marRight w:val="0"/>
              <w:marTop w:val="0"/>
              <w:marBottom w:val="0"/>
              <w:divBdr>
                <w:top w:val="none" w:sz="0" w:space="0" w:color="auto"/>
                <w:left w:val="none" w:sz="0" w:space="0" w:color="auto"/>
                <w:bottom w:val="none" w:sz="0" w:space="0" w:color="auto"/>
                <w:right w:val="none" w:sz="0" w:space="0" w:color="auto"/>
              </w:divBdr>
              <w:divsChild>
                <w:div w:id="370695761">
                  <w:marLeft w:val="0"/>
                  <w:marRight w:val="0"/>
                  <w:marTop w:val="0"/>
                  <w:marBottom w:val="0"/>
                  <w:divBdr>
                    <w:top w:val="none" w:sz="0" w:space="0" w:color="auto"/>
                    <w:left w:val="none" w:sz="0" w:space="0" w:color="auto"/>
                    <w:bottom w:val="none" w:sz="0" w:space="0" w:color="auto"/>
                    <w:right w:val="none" w:sz="0" w:space="0" w:color="auto"/>
                  </w:divBdr>
                  <w:divsChild>
                    <w:div w:id="2093578459">
                      <w:marLeft w:val="0"/>
                      <w:marRight w:val="0"/>
                      <w:marTop w:val="0"/>
                      <w:marBottom w:val="0"/>
                      <w:divBdr>
                        <w:top w:val="none" w:sz="0" w:space="0" w:color="auto"/>
                        <w:left w:val="none" w:sz="0" w:space="0" w:color="auto"/>
                        <w:bottom w:val="none" w:sz="0" w:space="0" w:color="auto"/>
                        <w:right w:val="none" w:sz="0" w:space="0" w:color="auto"/>
                      </w:divBdr>
                      <w:divsChild>
                        <w:div w:id="388305708">
                          <w:marLeft w:val="120"/>
                          <w:marRight w:val="120"/>
                          <w:marTop w:val="0"/>
                          <w:marBottom w:val="0"/>
                          <w:divBdr>
                            <w:top w:val="none" w:sz="0" w:space="0" w:color="auto"/>
                            <w:left w:val="none" w:sz="0" w:space="0" w:color="auto"/>
                            <w:bottom w:val="none" w:sz="0" w:space="0" w:color="auto"/>
                            <w:right w:val="none" w:sz="0" w:space="0" w:color="auto"/>
                          </w:divBdr>
                          <w:divsChild>
                            <w:div w:id="1757168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6162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3" Type="http://schemas.openxmlformats.org/officeDocument/2006/relationships/settings" Target="settings.xml"/><Relationship Id="rId7" Type="http://schemas.openxmlformats.org/officeDocument/2006/relationships/chart" Target="charts/chart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E:\&#20998;&#26512;\2014\&#25968;&#25454;&#22270;1.xls" TargetMode="External"/><Relationship Id="rId2" Type="http://schemas.openxmlformats.org/officeDocument/2006/relationships/image" Target="../media/image2.png"/><Relationship Id="rId1" Type="http://schemas.openxmlformats.org/officeDocument/2006/relationships/image" Target="../media/image1.png"/></Relationships>
</file>

<file path=word/charts/_rels/chart2.xml.rels><?xml version="1.0" encoding="UTF-8" standalone="yes"?>
<Relationships xmlns="http://schemas.openxmlformats.org/package/2006/relationships"><Relationship Id="rId3" Type="http://schemas.openxmlformats.org/officeDocument/2006/relationships/oleObject" Target="file:///C:\Users\Administrator\Desktop\&#25968;&#25454;&#22270;1.xls" TargetMode="External"/><Relationship Id="rId2" Type="http://schemas.openxmlformats.org/officeDocument/2006/relationships/image" Target="../media/image4.jpeg"/><Relationship Id="rId1" Type="http://schemas.openxmlformats.org/officeDocument/2006/relationships/image" Target="../media/image3.jpeg"/></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b="0" i="0" u="none" strike="noStrike" baseline="0">
                <a:solidFill>
                  <a:srgbClr val="000000"/>
                </a:solidFill>
                <a:latin typeface="宋体"/>
                <a:ea typeface="宋体"/>
                <a:cs typeface="宋体"/>
              </a:defRPr>
            </a:pPr>
            <a:r>
              <a:rPr lang="zh-CN" altLang="en-US"/>
              <a:t>图一：地区生产总值（亿元）</a:t>
            </a:r>
          </a:p>
        </c:rich>
      </c:tx>
      <c:layout>
        <c:manualLayout>
          <c:xMode val="edge"/>
          <c:yMode val="edge"/>
          <c:x val="0.33797216699801363"/>
          <c:y val="1.6393442622950821E-2"/>
        </c:manualLayout>
      </c:layout>
      <c:overlay val="0"/>
      <c:spPr>
        <a:noFill/>
        <a:ln w="25400">
          <a:noFill/>
        </a:ln>
      </c:spPr>
    </c:title>
    <c:autoTitleDeleted val="0"/>
    <c:plotArea>
      <c:layout>
        <c:manualLayout>
          <c:layoutTarget val="inner"/>
          <c:xMode val="edge"/>
          <c:yMode val="edge"/>
          <c:x val="0.10337972166998012"/>
          <c:y val="0.12786885245901639"/>
          <c:w val="0.86083499005964215"/>
          <c:h val="0.75081967213115031"/>
        </c:manualLayout>
      </c:layout>
      <c:lineChart>
        <c:grouping val="standard"/>
        <c:varyColors val="0"/>
        <c:ser>
          <c:idx val="0"/>
          <c:order val="0"/>
          <c:tx>
            <c:strRef>
              <c:f>'41'!$B$1:$B$2</c:f>
              <c:strCache>
                <c:ptCount val="1"/>
                <c:pt idx="0">
                  <c:v>地区生产总值(亿元)</c:v>
                </c:pt>
              </c:strCache>
            </c:strRef>
          </c:tx>
          <c:spPr>
            <a:ln w="28575">
              <a:noFill/>
            </a:ln>
          </c:spPr>
          <c:marker>
            <c:symbol val="diamond"/>
            <c:size val="5"/>
            <c:spPr>
              <a:solidFill>
                <a:srgbClr val="000080"/>
              </a:solidFill>
              <a:ln>
                <a:solidFill>
                  <a:srgbClr val="000080"/>
                </a:solidFill>
                <a:prstDash val="solid"/>
              </a:ln>
            </c:spPr>
          </c:marker>
          <c:dLbls>
            <c:numFmt formatCode="#,##0.00_);[Red]\(#,##0.00\)" sourceLinked="0"/>
            <c:spPr>
              <a:blipFill dpi="0" rotWithShape="0">
                <a:blip xmlns:r="http://schemas.openxmlformats.org/officeDocument/2006/relationships" r:embed="rId1"/>
                <a:srcRect/>
                <a:stretch>
                  <a:fillRect/>
                </a:stretch>
              </a:blipFill>
              <a:ln w="25400">
                <a:noFill/>
              </a:ln>
            </c:spPr>
            <c:txPr>
              <a:bodyPr/>
              <a:lstStyle/>
              <a:p>
                <a:pPr>
                  <a:defRPr sz="1000" b="0" i="0" u="none" strike="noStrike" baseline="0">
                    <a:solidFill>
                      <a:srgbClr val="000000"/>
                    </a:solidFill>
                    <a:latin typeface="宋体"/>
                    <a:ea typeface="宋体"/>
                    <a:cs typeface="宋体"/>
                  </a:defRPr>
                </a:pPr>
                <a:endParaRPr lang="zh-CN"/>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'41'!$A$3:$A$9</c:f>
              <c:strCache>
                <c:ptCount val="7"/>
                <c:pt idx="0">
                  <c:v>2010年</c:v>
                </c:pt>
                <c:pt idx="1">
                  <c:v>2011年</c:v>
                </c:pt>
                <c:pt idx="2">
                  <c:v>2012年</c:v>
                </c:pt>
                <c:pt idx="3">
                  <c:v>2013年</c:v>
                </c:pt>
                <c:pt idx="4">
                  <c:v>2014年</c:v>
                </c:pt>
                <c:pt idx="5">
                  <c:v>2015年</c:v>
                </c:pt>
                <c:pt idx="6">
                  <c:v>2016年</c:v>
                </c:pt>
              </c:strCache>
            </c:strRef>
          </c:cat>
          <c:val>
            <c:numRef>
              <c:f>'41'!$B$3:$B$9</c:f>
              <c:numCache>
                <c:formatCode>General</c:formatCode>
                <c:ptCount val="7"/>
                <c:pt idx="0">
                  <c:v>1193.31</c:v>
                </c:pt>
                <c:pt idx="1">
                  <c:v>1410.52</c:v>
                </c:pt>
                <c:pt idx="2">
                  <c:v>1603.42</c:v>
                </c:pt>
                <c:pt idx="3">
                  <c:v>1810.49</c:v>
                </c:pt>
                <c:pt idx="4">
                  <c:v>1965.8899999999999</c:v>
                </c:pt>
                <c:pt idx="5">
                  <c:v>2160.64</c:v>
                </c:pt>
                <c:pt idx="6">
                  <c:v>2376.48</c:v>
                </c:pt>
              </c:numCache>
            </c:numRef>
          </c:val>
          <c:smooth val="0"/>
        </c:ser>
        <c:dLbls>
          <c:showLegendKey val="0"/>
          <c:showVal val="1"/>
          <c:showCatName val="0"/>
          <c:showSerName val="0"/>
          <c:showPercent val="0"/>
          <c:showBubbleSize val="0"/>
        </c:dLbls>
        <c:marker val="1"/>
        <c:smooth val="0"/>
        <c:axId val="429178328"/>
        <c:axId val="429178720"/>
      </c:lineChart>
      <c:catAx>
        <c:axId val="429178328"/>
        <c:scaling>
          <c:orientation val="minMax"/>
        </c:scaling>
        <c:delete val="0"/>
        <c:axPos val="b"/>
        <c:numFmt formatCode="General" sourceLinked="1"/>
        <c:majorTickMark val="in"/>
        <c:minorTickMark val="none"/>
        <c:tickLblPos val="nextTo"/>
        <c:spPr>
          <a:ln w="3175">
            <a:solidFill>
              <a:srgbClr val="000000"/>
            </a:solidFill>
            <a:prstDash val="solid"/>
          </a:ln>
        </c:spPr>
        <c:txPr>
          <a:bodyPr rot="0" vert="horz"/>
          <a:lstStyle/>
          <a:p>
            <a:pPr>
              <a:defRPr sz="1000" b="0" i="0" u="none" strike="noStrike" baseline="0">
                <a:solidFill>
                  <a:srgbClr val="000000"/>
                </a:solidFill>
                <a:latin typeface="宋体"/>
                <a:ea typeface="宋体"/>
                <a:cs typeface="宋体"/>
              </a:defRPr>
            </a:pPr>
            <a:endParaRPr lang="zh-CN"/>
          </a:p>
        </c:txPr>
        <c:crossAx val="429178720"/>
        <c:crosses val="autoZero"/>
        <c:auto val="1"/>
        <c:lblAlgn val="ctr"/>
        <c:lblOffset val="100"/>
        <c:tickLblSkip val="1"/>
        <c:tickMarkSkip val="1"/>
        <c:noMultiLvlLbl val="0"/>
      </c:catAx>
      <c:valAx>
        <c:axId val="429178720"/>
        <c:scaling>
          <c:orientation val="minMax"/>
          <c:max val="2400"/>
          <c:min val="800"/>
        </c:scaling>
        <c:delete val="0"/>
        <c:axPos val="l"/>
        <c:numFmt formatCode="0_ " sourceLinked="0"/>
        <c:majorTickMark val="in"/>
        <c:minorTickMark val="none"/>
        <c:tickLblPos val="nextTo"/>
        <c:spPr>
          <a:ln w="3175">
            <a:solidFill>
              <a:srgbClr val="000000"/>
            </a:solidFill>
            <a:prstDash val="solid"/>
          </a:ln>
        </c:spPr>
        <c:txPr>
          <a:bodyPr rot="0" vert="horz"/>
          <a:lstStyle/>
          <a:p>
            <a:pPr>
              <a:defRPr sz="1000" b="0" i="0" u="none" strike="noStrike" baseline="0">
                <a:solidFill>
                  <a:srgbClr val="000000"/>
                </a:solidFill>
                <a:latin typeface="宋体"/>
                <a:ea typeface="宋体"/>
                <a:cs typeface="宋体"/>
              </a:defRPr>
            </a:pPr>
            <a:endParaRPr lang="zh-CN"/>
          </a:p>
        </c:txPr>
        <c:crossAx val="429178328"/>
        <c:crosses val="autoZero"/>
        <c:crossBetween val="between"/>
        <c:majorUnit val="200"/>
      </c:valAx>
      <c:spPr>
        <a:blipFill dpi="0" rotWithShape="0">
          <a:blip xmlns:r="http://schemas.openxmlformats.org/officeDocument/2006/relationships" r:embed="rId2"/>
          <a:srcRect/>
          <a:stretch>
            <a:fillRect/>
          </a:stretch>
        </a:blipFill>
        <a:ln w="25400">
          <a:noFill/>
        </a:ln>
      </c:spPr>
    </c:plotArea>
    <c:plotVisOnly val="1"/>
    <c:dispBlanksAs val="gap"/>
    <c:showDLblsOverMax val="0"/>
  </c:chart>
  <c:spPr>
    <a:solidFill>
      <a:srgbClr val="FFFFFF"/>
    </a:solidFill>
    <a:ln w="9525">
      <a:noFill/>
    </a:ln>
  </c:spPr>
  <c:txPr>
    <a:bodyPr/>
    <a:lstStyle/>
    <a:p>
      <a:pPr>
        <a:defRPr sz="800" b="0" i="0" u="none" strike="noStrike" baseline="0">
          <a:solidFill>
            <a:srgbClr val="000000"/>
          </a:solidFill>
          <a:latin typeface="宋体"/>
          <a:ea typeface="宋体"/>
          <a:cs typeface="宋体"/>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b="0" i="0" u="none" strike="noStrike" baseline="0">
                <a:solidFill>
                  <a:srgbClr val="000000"/>
                </a:solidFill>
                <a:latin typeface="宋体"/>
                <a:ea typeface="宋体"/>
                <a:cs typeface="宋体"/>
              </a:defRPr>
            </a:pPr>
            <a:r>
              <a:rPr lang="zh-CN" altLang="en-US"/>
              <a:t>图二：居民人均可支配收入（元）</a:t>
            </a:r>
          </a:p>
        </c:rich>
      </c:tx>
      <c:layout>
        <c:manualLayout>
          <c:xMode val="edge"/>
          <c:yMode val="edge"/>
          <c:x val="0.2026404719212079"/>
          <c:y val="4.0857662023016522E-3"/>
        </c:manualLayout>
      </c:layout>
      <c:overlay val="0"/>
      <c:spPr>
        <a:noFill/>
        <a:ln w="25400">
          <a:noFill/>
        </a:ln>
      </c:spPr>
    </c:title>
    <c:autoTitleDeleted val="0"/>
    <c:view3D>
      <c:rotX val="15"/>
      <c:hPercent val="53"/>
      <c:rotY val="20"/>
      <c:depthPercent val="70"/>
      <c:rAngAx val="1"/>
    </c:view3D>
    <c:floor>
      <c:thickness val="0"/>
      <c:spPr>
        <a:solidFill>
          <a:srgbClr val="C0C0C0"/>
        </a:solidFill>
        <a:ln w="3175">
          <a:solidFill>
            <a:srgbClr val="000000"/>
          </a:solidFill>
          <a:prstDash val="solid"/>
        </a:ln>
      </c:spPr>
    </c:floor>
    <c:sideWall>
      <c:thickness val="0"/>
      <c:spPr>
        <a:blipFill dpi="0" rotWithShape="0">
          <a:blip xmlns:r="http://schemas.openxmlformats.org/officeDocument/2006/relationships" r:embed="rId1"/>
          <a:srcRect/>
          <a:stretch>
            <a:fillRect/>
          </a:stretch>
        </a:blipFill>
        <a:ln w="12700">
          <a:solidFill>
            <a:srgbClr val="808080"/>
          </a:solidFill>
          <a:prstDash val="solid"/>
        </a:ln>
      </c:spPr>
      <c:pictureOptions>
        <c:pictureFormat val="stretch"/>
      </c:pictureOptions>
    </c:sideWall>
    <c:backWall>
      <c:thickness val="0"/>
      <c:spPr>
        <a:blipFill dpi="0" rotWithShape="0">
          <a:blip xmlns:r="http://schemas.openxmlformats.org/officeDocument/2006/relationships" r:embed="rId1"/>
          <a:srcRect/>
          <a:stretch>
            <a:fillRect/>
          </a:stretch>
        </a:blipFill>
        <a:ln w="12700">
          <a:solidFill>
            <a:srgbClr val="808080"/>
          </a:solidFill>
          <a:prstDash val="solid"/>
        </a:ln>
      </c:spPr>
      <c:pictureOptions>
        <c:pictureFormat val="stretch"/>
      </c:pictureOptions>
    </c:backWall>
    <c:plotArea>
      <c:layout>
        <c:manualLayout>
          <c:layoutTarget val="inner"/>
          <c:xMode val="edge"/>
          <c:yMode val="edge"/>
          <c:x val="9.5049596853338539E-2"/>
          <c:y val="0.1475409836065574"/>
          <c:w val="0.89703057030338262"/>
          <c:h val="0.75409836065573765"/>
        </c:manualLayout>
      </c:layout>
      <c:bar3DChart>
        <c:barDir val="col"/>
        <c:grouping val="clustered"/>
        <c:varyColors val="0"/>
        <c:ser>
          <c:idx val="1"/>
          <c:order val="0"/>
          <c:tx>
            <c:strRef>
              <c:f>'151'!$B$2</c:f>
              <c:strCache>
                <c:ptCount val="1"/>
                <c:pt idx="0">
                  <c:v>农村居民</c:v>
                </c:pt>
              </c:strCache>
            </c:strRef>
          </c:tx>
          <c:spPr>
            <a:pattFill prst="pct10">
              <a:fgClr>
                <a:srgbClr val="800000"/>
              </a:fgClr>
              <a:bgClr>
                <a:srgbClr val="FFCC00"/>
              </a:bgClr>
            </a:pattFill>
            <a:ln w="12700">
              <a:solidFill>
                <a:srgbClr val="000000"/>
              </a:solidFill>
              <a:prstDash val="solid"/>
            </a:ln>
          </c:spPr>
          <c:invertIfNegative val="0"/>
          <c:dLbls>
            <c:dLbl>
              <c:idx val="0"/>
              <c:layout>
                <c:manualLayout>
                  <c:x val="-4.5285725422935996E-3"/>
                  <c:y val="3.9281270169097812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5.9380993217432237E-3"/>
                  <c:y val="4.1068112387590866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2.0772848938437152E-3"/>
                  <c:y val="3.2623725313024488E-2"/>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1.0092461214625431E-2"/>
                  <c:y val="1.8501785637451119E-2"/>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 val="-6.8865154231958752E-3"/>
                  <c:y val="8.8013424551440268E-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 val="7.5405524804450091E-3"/>
                  <c:y val="4.7171808441977409E-3"/>
                </c:manualLayout>
              </c:layout>
              <c:showLegendKey val="0"/>
              <c:showVal val="1"/>
              <c:showCatName val="0"/>
              <c:showSerName val="0"/>
              <c:showPercent val="0"/>
              <c:showBubbleSize val="0"/>
              <c:extLst>
                <c:ext xmlns:c15="http://schemas.microsoft.com/office/drawing/2012/chart" uri="{CE6537A1-D6FC-4f65-9D91-7224C49458BB}"/>
              </c:extLst>
            </c:dLbl>
            <c:spPr>
              <a:noFill/>
              <a:ln w="25400">
                <a:noFill/>
              </a:ln>
            </c:spPr>
            <c:txPr>
              <a:bodyPr/>
              <a:lstStyle/>
              <a:p>
                <a:pPr>
                  <a:defRPr sz="1200" b="1" i="0" u="none" strike="noStrike" baseline="0">
                    <a:solidFill>
                      <a:srgbClr val="FF0000"/>
                    </a:solidFill>
                    <a:latin typeface="黑体"/>
                    <a:ea typeface="黑体"/>
                    <a:cs typeface="黑体"/>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'151'!$A$3:$A$9</c:f>
              <c:strCache>
                <c:ptCount val="7"/>
                <c:pt idx="0">
                  <c:v>2010年</c:v>
                </c:pt>
                <c:pt idx="1">
                  <c:v>2011年</c:v>
                </c:pt>
                <c:pt idx="2">
                  <c:v>2012年</c:v>
                </c:pt>
                <c:pt idx="3">
                  <c:v>2013年</c:v>
                </c:pt>
                <c:pt idx="4">
                  <c:v>2014年</c:v>
                </c:pt>
                <c:pt idx="5">
                  <c:v>2015年</c:v>
                </c:pt>
                <c:pt idx="6">
                  <c:v>2016年</c:v>
                </c:pt>
              </c:strCache>
            </c:strRef>
          </c:cat>
          <c:val>
            <c:numRef>
              <c:f>'151'!$B$3:$B$9</c:f>
              <c:numCache>
                <c:formatCode>General</c:formatCode>
                <c:ptCount val="7"/>
                <c:pt idx="0">
                  <c:v>7039</c:v>
                </c:pt>
                <c:pt idx="1">
                  <c:v>8434</c:v>
                </c:pt>
                <c:pt idx="2" formatCode="0_ ">
                  <c:v>9589.457999999966</c:v>
                </c:pt>
                <c:pt idx="3">
                  <c:v>10745</c:v>
                </c:pt>
                <c:pt idx="4">
                  <c:v>11698</c:v>
                </c:pt>
                <c:pt idx="5">
                  <c:v>12778</c:v>
                </c:pt>
                <c:pt idx="6" formatCode="0_ ">
                  <c:v>13932</c:v>
                </c:pt>
              </c:numCache>
            </c:numRef>
          </c:val>
          <c:shape val="cylinder"/>
        </c:ser>
        <c:ser>
          <c:idx val="0"/>
          <c:order val="1"/>
          <c:tx>
            <c:strRef>
              <c:f>'151'!$C$2</c:f>
              <c:strCache>
                <c:ptCount val="1"/>
                <c:pt idx="0">
                  <c:v>城市居民</c:v>
                </c:pt>
              </c:strCache>
            </c:strRef>
          </c:tx>
          <c:spPr>
            <a:blipFill dpi="0" rotWithShape="0">
              <a:blip xmlns:r="http://schemas.openxmlformats.org/officeDocument/2006/relationships" r:embed="rId2"/>
              <a:srcRect/>
              <a:stretch>
                <a:fillRect/>
              </a:stretch>
            </a:blipFill>
            <a:ln w="12700">
              <a:solidFill>
                <a:srgbClr val="000000"/>
              </a:solidFill>
              <a:prstDash val="solid"/>
            </a:ln>
          </c:spPr>
          <c:invertIfNegative val="0"/>
          <c:pictureOptions>
            <c:pictureFormat val="stackScale"/>
            <c:pictureStackUnit val="700"/>
          </c:pictureOptions>
          <c:dLbls>
            <c:dLbl>
              <c:idx val="0"/>
              <c:layout>
                <c:manualLayout>
                  <c:x val="3.4202853356201791E-3"/>
                  <c:y val="2.7725140914762778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1.2947688469634381E-3"/>
                  <c:y val="2.2529151069231101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4.6894831215405115E-3"/>
                  <c:y val="3.7847596919237551E-2"/>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6.7640653829162513E-3"/>
                  <c:y val="3.1585560001721094E-2"/>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 val="-7.5185156310906788E-3"/>
                  <c:y val="1.1478679919108501E-2"/>
                </c:manualLayout>
              </c:layout>
              <c:showLegendKey val="0"/>
              <c:showVal val="1"/>
              <c:showCatName val="0"/>
              <c:showSerName val="0"/>
              <c:showPercent val="0"/>
              <c:showBubbleSize val="0"/>
              <c:extLst>
                <c:ext xmlns:c15="http://schemas.microsoft.com/office/drawing/2012/chart" uri="{CE6537A1-D6FC-4f65-9D91-7224C49458BB}"/>
              </c:extLst>
            </c:dLbl>
            <c:dLbl>
              <c:idx val="7"/>
              <c:layout>
                <c:manualLayout>
                  <c:x val="1.2660184646799499E-2"/>
                  <c:y val="2.8736457123187478E-2"/>
                </c:manualLayout>
              </c:layout>
              <c:showLegendKey val="0"/>
              <c:showVal val="1"/>
              <c:showCatName val="0"/>
              <c:showSerName val="0"/>
              <c:showPercent val="0"/>
              <c:showBubbleSize val="0"/>
              <c:extLst>
                <c:ext xmlns:c15="http://schemas.microsoft.com/office/drawing/2012/chart" uri="{CE6537A1-D6FC-4f65-9D91-7224C49458BB}"/>
              </c:extLst>
            </c:dLbl>
            <c:spPr>
              <a:noFill/>
              <a:ln w="25400">
                <a:noFill/>
              </a:ln>
            </c:spPr>
            <c:txPr>
              <a:bodyPr/>
              <a:lstStyle/>
              <a:p>
                <a:pPr>
                  <a:defRPr sz="1200" b="1" i="0" u="none" strike="noStrike" baseline="0">
                    <a:solidFill>
                      <a:srgbClr val="FF0000"/>
                    </a:solidFill>
                    <a:latin typeface="黑体"/>
                    <a:ea typeface="黑体"/>
                    <a:cs typeface="黑体"/>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'151'!$A$3:$A$9</c:f>
              <c:strCache>
                <c:ptCount val="7"/>
                <c:pt idx="0">
                  <c:v>2010年</c:v>
                </c:pt>
                <c:pt idx="1">
                  <c:v>2011年</c:v>
                </c:pt>
                <c:pt idx="2">
                  <c:v>2012年</c:v>
                </c:pt>
                <c:pt idx="3">
                  <c:v>2013年</c:v>
                </c:pt>
                <c:pt idx="4">
                  <c:v>2014年</c:v>
                </c:pt>
                <c:pt idx="5">
                  <c:v>2015年</c:v>
                </c:pt>
                <c:pt idx="6">
                  <c:v>2016年</c:v>
                </c:pt>
              </c:strCache>
            </c:strRef>
          </c:cat>
          <c:val>
            <c:numRef>
              <c:f>'151'!$C$3:$C$9</c:f>
              <c:numCache>
                <c:formatCode>General</c:formatCode>
                <c:ptCount val="7"/>
                <c:pt idx="0">
                  <c:v>15790</c:v>
                </c:pt>
                <c:pt idx="1">
                  <c:v>18483</c:v>
                </c:pt>
                <c:pt idx="2" formatCode="0_);[Red]\(0\)">
                  <c:v>20816</c:v>
                </c:pt>
                <c:pt idx="3">
                  <c:v>22985</c:v>
                </c:pt>
                <c:pt idx="4">
                  <c:v>23595</c:v>
                </c:pt>
                <c:pt idx="5">
                  <c:v>25728</c:v>
                </c:pt>
                <c:pt idx="6" formatCode="0_);[Red]\(0\)">
                  <c:v>27853</c:v>
                </c:pt>
              </c:numCache>
            </c:numRef>
          </c:val>
          <c:shape val="box"/>
        </c:ser>
        <c:dLbls>
          <c:showLegendKey val="0"/>
          <c:showVal val="0"/>
          <c:showCatName val="0"/>
          <c:showSerName val="0"/>
          <c:showPercent val="0"/>
          <c:showBubbleSize val="0"/>
        </c:dLbls>
        <c:gapWidth val="100"/>
        <c:gapDepth val="50"/>
        <c:shape val="cone"/>
        <c:axId val="429179504"/>
        <c:axId val="429179896"/>
        <c:axId val="0"/>
      </c:bar3DChart>
      <c:catAx>
        <c:axId val="429179504"/>
        <c:scaling>
          <c:orientation val="minMax"/>
        </c:scaling>
        <c:delete val="0"/>
        <c:axPos val="b"/>
        <c:numFmt formatCode="General" sourceLinked="1"/>
        <c:majorTickMark val="in"/>
        <c:minorTickMark val="none"/>
        <c:tickLblPos val="low"/>
        <c:spPr>
          <a:ln w="3175">
            <a:solidFill>
              <a:srgbClr val="000000"/>
            </a:solidFill>
            <a:prstDash val="solid"/>
          </a:ln>
        </c:spPr>
        <c:txPr>
          <a:bodyPr rot="0" vert="horz"/>
          <a:lstStyle/>
          <a:p>
            <a:pPr>
              <a:defRPr sz="1200" b="0" i="0" u="none" strike="noStrike" baseline="0">
                <a:solidFill>
                  <a:srgbClr val="000000"/>
                </a:solidFill>
                <a:latin typeface="宋体"/>
                <a:ea typeface="宋体"/>
                <a:cs typeface="宋体"/>
              </a:defRPr>
            </a:pPr>
            <a:endParaRPr lang="zh-CN"/>
          </a:p>
        </c:txPr>
        <c:crossAx val="429179896"/>
        <c:crosses val="autoZero"/>
        <c:auto val="1"/>
        <c:lblAlgn val="ctr"/>
        <c:lblOffset val="100"/>
        <c:tickLblSkip val="1"/>
        <c:tickMarkSkip val="1"/>
        <c:noMultiLvlLbl val="0"/>
      </c:catAx>
      <c:valAx>
        <c:axId val="429179896"/>
        <c:scaling>
          <c:orientation val="minMax"/>
          <c:max val="32000"/>
          <c:min val="4000"/>
        </c:scaling>
        <c:delete val="0"/>
        <c:axPos val="l"/>
        <c:numFmt formatCode="General" sourceLinked="1"/>
        <c:majorTickMark val="in"/>
        <c:minorTickMark val="none"/>
        <c:tickLblPos val="nextTo"/>
        <c:spPr>
          <a:ln w="3175">
            <a:solidFill>
              <a:srgbClr val="000000"/>
            </a:solidFill>
            <a:prstDash val="solid"/>
          </a:ln>
        </c:spPr>
        <c:txPr>
          <a:bodyPr rot="0" vert="horz"/>
          <a:lstStyle/>
          <a:p>
            <a:pPr>
              <a:defRPr sz="1200" b="0" i="0" u="none" strike="noStrike" baseline="0">
                <a:solidFill>
                  <a:srgbClr val="000000"/>
                </a:solidFill>
                <a:latin typeface="宋体"/>
                <a:ea typeface="宋体"/>
                <a:cs typeface="宋体"/>
              </a:defRPr>
            </a:pPr>
            <a:endParaRPr lang="zh-CN"/>
          </a:p>
        </c:txPr>
        <c:crossAx val="429179504"/>
        <c:crosses val="autoZero"/>
        <c:crossBetween val="between"/>
        <c:majorUnit val="4000"/>
      </c:valAx>
      <c:spPr>
        <a:noFill/>
        <a:ln w="25400">
          <a:noFill/>
        </a:ln>
      </c:spPr>
    </c:plotArea>
    <c:legend>
      <c:legendPos val="r"/>
      <c:layout>
        <c:manualLayout>
          <c:xMode val="edge"/>
          <c:yMode val="edge"/>
          <c:x val="0.72739336295834311"/>
          <c:y val="6.3942822531798907E-2"/>
          <c:w val="0.25016543229126065"/>
          <c:h val="9.6174863387978496E-2"/>
        </c:manualLayout>
      </c:layout>
      <c:overlay val="0"/>
      <c:spPr>
        <a:solidFill>
          <a:srgbClr val="FFFFFF"/>
        </a:solidFill>
        <a:ln w="25400">
          <a:noFill/>
        </a:ln>
      </c:spPr>
      <c:txPr>
        <a:bodyPr/>
        <a:lstStyle/>
        <a:p>
          <a:pPr>
            <a:defRPr sz="825" b="0" i="0" u="none" strike="noStrike" baseline="0">
              <a:solidFill>
                <a:srgbClr val="000000"/>
              </a:solidFill>
              <a:latin typeface="宋体"/>
              <a:ea typeface="宋体"/>
              <a:cs typeface="宋体"/>
            </a:defRPr>
          </a:pPr>
          <a:endParaRPr lang="zh-CN"/>
        </a:p>
      </c:txPr>
    </c:legend>
    <c:plotVisOnly val="1"/>
    <c:dispBlanksAs val="gap"/>
    <c:showDLblsOverMax val="0"/>
  </c:chart>
  <c:spPr>
    <a:solidFill>
      <a:srgbClr val="FFFFFF"/>
    </a:solidFill>
    <a:ln w="9525">
      <a:noFill/>
    </a:ln>
  </c:spPr>
  <c:txPr>
    <a:bodyPr/>
    <a:lstStyle/>
    <a:p>
      <a:pPr>
        <a:defRPr sz="1625" b="0" i="0" u="none" strike="noStrike" baseline="0">
          <a:solidFill>
            <a:srgbClr val="000000"/>
          </a:solidFill>
          <a:latin typeface="宋体"/>
          <a:ea typeface="宋体"/>
          <a:cs typeface="宋体"/>
        </a:defRPr>
      </a:pPr>
      <a:endParaRPr lang="zh-CN"/>
    </a:p>
  </c:txPr>
  <c:externalData r:id="rId3">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6A7164-D6D4-4C8E-B688-464CEF1F6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1454</TotalTime>
  <Pages>18</Pages>
  <Words>1366</Words>
  <Characters>7789</Characters>
  <Application>Microsoft Office Word</Application>
  <DocSecurity>0</DocSecurity>
  <Lines>64</Lines>
  <Paragraphs>18</Paragraphs>
  <ScaleCrop>false</ScaleCrop>
  <Company/>
  <LinksUpToDate>false</LinksUpToDate>
  <CharactersWithSpaces>9137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47</cp:revision>
  <dcterms:created xsi:type="dcterms:W3CDTF">2017-02-28T01:02:00Z</dcterms:created>
  <dcterms:modified xsi:type="dcterms:W3CDTF">2017-10-12T06:58:00Z</dcterms:modified>
</cp:coreProperties>
</file>