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rPr>
          <w:rFonts w:ascii="Times New Roman" w:hAnsi="Times New Roman" w:eastAsia="方正小标宋_GBK" w:cs="Times New Roman"/>
          <w:sz w:val="44"/>
          <w:szCs w:val="44"/>
        </w:rPr>
      </w:pPr>
    </w:p>
    <w:p>
      <w:pPr>
        <w:snapToGrid w:val="0"/>
        <w:jc w:val="center"/>
        <w:rPr>
          <w:rFonts w:ascii="Times New Roman" w:hAnsi="Times New Roman" w:eastAsia="方正小标宋简体"/>
          <w:color w:val="FF0000"/>
          <w:spacing w:val="0"/>
          <w:w w:val="61"/>
          <w:sz w:val="96"/>
          <w:szCs w:val="96"/>
        </w:rPr>
      </w:pPr>
      <w:r>
        <w:rPr>
          <w:rFonts w:hint="default" w:ascii="Times New Roman" w:hAnsi="Times New Roman" w:eastAsia="方正小标宋简体"/>
          <w:color w:val="FF0000"/>
          <w:spacing w:val="0"/>
          <w:w w:val="61"/>
          <w:sz w:val="96"/>
          <w:szCs w:val="96"/>
        </w:rPr>
        <w:t>连云港市住房和城乡</w:t>
      </w:r>
      <w:r>
        <w:rPr>
          <w:rFonts w:ascii="Times New Roman" w:hAnsi="Times New Roman" w:eastAsia="方正小标宋简体"/>
          <w:color w:val="FF0000"/>
          <w:spacing w:val="0"/>
          <w:w w:val="61"/>
          <w:sz w:val="96"/>
          <w:szCs w:val="96"/>
        </w:rPr>
        <w:t>建设局</w:t>
      </w:r>
      <w:r>
        <w:rPr>
          <w:rFonts w:hint="default" w:ascii="Times New Roman" w:hAnsi="Times New Roman" w:eastAsia="方正小标宋简体"/>
          <w:color w:val="FF0000"/>
          <w:spacing w:val="0"/>
          <w:w w:val="61"/>
          <w:sz w:val="96"/>
          <w:szCs w:val="96"/>
        </w:rPr>
        <w:t>文件</w:t>
      </w:r>
    </w:p>
    <w:p>
      <w:pPr>
        <w:snapToGrid w:val="0"/>
        <w:spacing w:line="480" w:lineRule="exact"/>
        <w:jc w:val="center"/>
        <w:rPr>
          <w:rFonts w:ascii="Times New Roman" w:hAnsi="Times New Roman" w:eastAsia="仿宋_GB2312"/>
          <w:sz w:val="40"/>
          <w:szCs w:val="40"/>
        </w:rPr>
      </w:pPr>
    </w:p>
    <w:p>
      <w:pPr>
        <w:snapToGrid w:val="0"/>
        <w:spacing w:line="480" w:lineRule="exact"/>
        <w:jc w:val="center"/>
        <w:rPr>
          <w:rFonts w:ascii="Times New Roman" w:hAnsi="Times New Roman" w:eastAsia="仿宋_GB2312"/>
          <w:sz w:val="40"/>
          <w:szCs w:val="40"/>
        </w:rPr>
      </w:pPr>
    </w:p>
    <w:p>
      <w:pPr>
        <w:tabs>
          <w:tab w:val="left" w:pos="10190"/>
        </w:tabs>
        <w:snapToGrid w:val="0"/>
        <w:spacing w:before="48" w:beforeLines="10" w:line="460" w:lineRule="exact"/>
        <w:ind w:firstLine="313" w:firstLineChars="98"/>
        <w:jc w:val="center"/>
        <w:rPr>
          <w:rFonts w:ascii="Times New Roman" w:hAnsi="Times New Roman" w:eastAsia="仿宋_GB2312"/>
          <w:sz w:val="32"/>
          <w:szCs w:val="32"/>
        </w:rPr>
      </w:pPr>
      <w:bookmarkStart w:id="0" w:name="文号"/>
      <w:r>
        <w:rPr>
          <w:rFonts w:hint="eastAsia" w:ascii="Times New Roman" w:hAnsi="Times New Roman" w:eastAsia="仿宋_GB2312"/>
          <w:sz w:val="32"/>
          <w:szCs w:val="32"/>
        </w:rPr>
        <w:t>连</w:t>
      </w:r>
      <w:r>
        <w:rPr>
          <w:rFonts w:hint="eastAsia" w:ascii="Times New Roman" w:hAnsi="Times New Roman" w:eastAsia="仿宋_GB2312"/>
          <w:sz w:val="32"/>
          <w:szCs w:val="32"/>
          <w:lang w:val="en-US" w:eastAsia="zh-CN"/>
        </w:rPr>
        <w:t>建发</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286</w:t>
      </w:r>
      <w:r>
        <w:rPr>
          <w:rFonts w:hint="eastAsia" w:ascii="Times New Roman" w:hAnsi="Times New Roman" w:eastAsia="仿宋_GB2312"/>
          <w:sz w:val="32"/>
          <w:szCs w:val="32"/>
        </w:rPr>
        <w:t>号</w:t>
      </w:r>
      <w:bookmarkEnd w:id="0"/>
    </w:p>
    <w:p>
      <w:pPr>
        <w:snapToGrid w:val="0"/>
        <w:spacing w:before="48" w:beforeLines="10" w:line="460" w:lineRule="exact"/>
        <w:rPr>
          <w:rFonts w:ascii="Times New Roman" w:hAnsi="Times New Roman" w:eastAsia="仿宋_GB2312"/>
          <w:sz w:val="44"/>
        </w:rPr>
      </w:pPr>
      <w:r>
        <w:rPr>
          <w:rFonts w:ascii="Times New Roman" w:hAnsi="Times New Roman" w:eastAsia="仿宋_GB2312"/>
          <w:sz w:val="44"/>
          <w:szCs w:val="44"/>
        </w:rPr>
        <mc:AlternateContent>
          <mc:Choice Requires="wps">
            <w:drawing>
              <wp:anchor distT="0" distB="0" distL="113665" distR="113665" simplePos="0" relativeHeight="251660288" behindDoc="0" locked="0" layoutInCell="1" allowOverlap="1">
                <wp:simplePos x="0" y="0"/>
                <wp:positionH relativeFrom="column">
                  <wp:posOffset>28575</wp:posOffset>
                </wp:positionH>
                <wp:positionV relativeFrom="paragraph">
                  <wp:posOffset>98425</wp:posOffset>
                </wp:positionV>
                <wp:extent cx="5572125" cy="635"/>
                <wp:effectExtent l="0" t="13970" r="9525" b="23495"/>
                <wp:wrapNone/>
                <wp:docPr id="7" name="直线 20"/>
                <wp:cNvGraphicFramePr/>
                <a:graphic xmlns:a="http://schemas.openxmlformats.org/drawingml/2006/main">
                  <a:graphicData uri="http://schemas.microsoft.com/office/word/2010/wordprocessingShape">
                    <wps:wsp>
                      <wps:cNvCnPr/>
                      <wps:spPr>
                        <a:xfrm>
                          <a:off x="0" y="0"/>
                          <a:ext cx="5572125" cy="952"/>
                        </a:xfrm>
                        <a:prstGeom prst="line">
                          <a:avLst/>
                        </a:prstGeom>
                        <a:noFill/>
                        <a:ln w="2857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线 20" o:spid="_x0000_s1026" o:spt="20" style="position:absolute;left:0pt;margin-left:2.25pt;margin-top:7.75pt;height:0.05pt;width:438.75pt;z-index:251660288;mso-width-relative:page;mso-height-relative:page;" filled="f" stroked="t" coordsize="21600,21600" o:gfxdata="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BUJ4XVAAAABwEAAA8AAAAAAAAA&#10;AQAgAAAAIgAAAGRycy9kb3ducmV2LnhtbFBLAQIUABQAAAAIAIdO4kDvTQAwFAIAACEEAAAOAAAA&#10;AAAAAAEAIAAAACQBAABkcnMvZTJvRG9jLnhtbFBLBQYAAAAABgAGAFkBAACq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1" w:name="附件"/>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连云港市住房和城乡建设局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关于2022年第二季度暨上半年度全市城镇污水处理设施运行情况的通报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autoSpaceDE/>
        <w:autoSpaceDN/>
        <w:bidi w:val="0"/>
        <w:adjustRightInd/>
        <w:snapToGrid/>
        <w:spacing w:line="520"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各县区政府，各功能板块管委会，各有关单位：</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为加强城镇污水处理设施运行管理，充分发挥污水处理设施减排效益，现根据全国及江苏省城镇污水处理信息管理系统相关数据，现将2022年度全市第二季度暨上半年城镇生活污水处理设施运行情况通报如下：</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一、城镇污水处理设施现状情况</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全市共建成61座(不含工业兼生活和分散处理设施)污水处理设施，总处理规模约61.1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5万吨/日，建成配套污水管网约1850公里。详见附件1。</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（一）城市污水处理厂情况</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县城及以上城市污水处理厂10座，总处理规模54万吨/日，建成配套污水管网约1400公里，均达到一级A排放标准，城市污水处理设施覆盖率100%。</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（二）乡镇污水处理设施情况</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乡镇污水处理设施51座，</w:t>
      </w:r>
      <w:r>
        <w:rPr>
          <w:rFonts w:hint="default" w:ascii="Times New Roman" w:hAnsi="Times New Roman" w:eastAsia="仿宋_GB2312" w:cs="Times New Roman"/>
          <w:sz w:val="32"/>
          <w:szCs w:val="32"/>
          <w:lang w:val="en-US" w:eastAsia="zh-CN"/>
        </w:rPr>
        <w:t>均</w:t>
      </w:r>
      <w:r>
        <w:rPr>
          <w:rFonts w:hint="default" w:ascii="Times New Roman" w:hAnsi="Times New Roman" w:eastAsia="仿宋_GB2312" w:cs="Times New Roman"/>
          <w:sz w:val="32"/>
        </w:rPr>
        <w:t>正常运行，</w:t>
      </w:r>
      <w:r>
        <w:rPr>
          <w:rFonts w:hint="default" w:ascii="Times New Roman" w:hAnsi="Times New Roman" w:eastAsia="仿宋_GB2312" w:cs="Times New Roman"/>
          <w:sz w:val="32"/>
          <w:szCs w:val="32"/>
        </w:rPr>
        <w:t>总处理规模7.</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5万吨/日，建成配套污水管网约450公里，</w:t>
      </w:r>
      <w:r>
        <w:rPr>
          <w:rFonts w:hint="default" w:ascii="Times New Roman" w:hAnsi="Times New Roman" w:eastAsia="仿宋_GB2312" w:cs="Times New Roman"/>
          <w:sz w:val="32"/>
        </w:rPr>
        <w:t>除东海县青湖镇污水处理厂其他均执行一级A标准</w:t>
      </w:r>
      <w:r>
        <w:rPr>
          <w:rFonts w:hint="default" w:ascii="Times New Roman" w:hAnsi="Times New Roman" w:eastAsia="仿宋_GB2312" w:cs="Times New Roman"/>
          <w:sz w:val="32"/>
          <w:szCs w:val="32"/>
        </w:rPr>
        <w:t>，建制镇污水处理设施覆盖率100%。</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二、城镇污水处理设施运行情况</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 xml:space="preserve"> (一)城市污水处理厂</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1.处理负荷</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10座城市污水处理厂全部运行正常，上半年累计处理污水约7846.42万吨，同比去年7439万吨提升5.5%。全市城市污水处理厂平均负荷率为80.28%，大浦、墟沟、南城、赣榆创联、东海城东污水处理厂负荷率超过90%，其他城市污水处理厂负荷率在90%以下。见附件3。</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2.处理效能</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城市污水处理厂年度平均进水BOD浓度约为65.64mg/L，比2021年同期进水BOD平均浓度68.5mg/L降低4.2%，处理效能总体降低。市区大浦工业区污水处理厂、赣榆创联污水处理厂、灌云南风污水处理厂、东海西湖、城东污水处理厂处理效能降低明显，其他城市污水处理厂处理收集效能均有提升，灌南城东污水处理厂进水BOD浓度同比提升明显。见附件3。</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3.监督检测</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第二季度，我局对全市10座城市污水处理厂出水水质进行了监督检测，10座城市污水处理厂出水水质监测均合格。见附件4</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（二）乡镇污水处理厂</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1.处理负荷</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全市51座乡镇污水处理厂运行水平和处理水量总体提升，原灌云县小伊乡</w:t>
      </w:r>
      <w:r>
        <w:rPr>
          <w:rFonts w:hint="default" w:ascii="Times New Roman" w:hAnsi="Times New Roman" w:eastAsia="仿宋_GB2312" w:cs="Times New Roman"/>
          <w:sz w:val="32"/>
        </w:rPr>
        <w:t>董集污水处理厂改为污水提升泵站，区域内的污水收集至空港产业园污水厂处理。</w:t>
      </w:r>
      <w:r>
        <w:rPr>
          <w:rFonts w:hint="default" w:ascii="Times New Roman" w:hAnsi="Times New Roman" w:eastAsia="仿宋_GB2312" w:cs="Times New Roman"/>
          <w:sz w:val="32"/>
          <w:szCs w:val="32"/>
        </w:rPr>
        <w:t>2022年度上半年，因部分县区乡镇污水处理设施长期减产，全市51座污水处理设施共处理污水约404万吨，较去年同期658万吨降低38.6%。全市负荷率低于20%的污水处理厂有14座，主要集中在东海、灌云、灌南。见附件5。</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2.处理效能</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全市乡镇污水处理设施处理效能相较去年上半年总体降低，乡镇污水处理厂COD平均进水浓度约为80.29mg/L，同比去年114mg/L降低29.57%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13座乡镇污水处理设施COD平均进水浓度低于50mg/L。海州区、连云区、灌云县、赣榆区高于全市平均进水浓度，东海县、灌南县低于全市平均进水浓度。见附件5。</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三、存在的主要问题</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（一）城镇污水处理厂进水浓度降低。</w:t>
      </w:r>
      <w:r>
        <w:rPr>
          <w:rFonts w:hint="default" w:ascii="Times New Roman" w:hAnsi="Times New Roman" w:eastAsia="仿宋_GB2312" w:cs="Times New Roman"/>
          <w:sz w:val="32"/>
          <w:szCs w:val="32"/>
        </w:rPr>
        <w:t>城市厂中大浦工业区污水处理厂、东海西湖污水处理厂、灌云南风污水处理厂进水BOD、COD同比2021年上半年下降明显，赣榆创联污水处理厂及东海城东污水处理厂进水COD同比2021年上半年下降明显，二季度城市生活污水收集效能较第一季度整体降低。乡镇污水处理厂上半年COD平均进水浓度约为80.29mg/L，同比去年114mg/L降低29.57%，二季度进水COD平均进水浓度约为74.64mg/L，较一季度106.15mg/L降低29.68%。</w:t>
      </w:r>
    </w:p>
    <w:p>
      <w:pPr>
        <w:keepNext w:val="0"/>
        <w:keepLines w:val="0"/>
        <w:pageBreakBefore w:val="0"/>
        <w:kinsoku/>
        <w:wordWrap/>
        <w:overflowPunct/>
        <w:autoSpaceDE/>
        <w:autoSpaceDN/>
        <w:bidi w:val="0"/>
        <w:adjustRightInd/>
        <w:snapToGrid/>
        <w:spacing w:line="520" w:lineRule="exact"/>
        <w:ind w:left="0" w:leftChars="0" w:firstLine="645"/>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（二）乡镇污水处理问题仍较突出。</w:t>
      </w:r>
      <w:r>
        <w:rPr>
          <w:rFonts w:hint="default" w:ascii="Times New Roman" w:hAnsi="Times New Roman" w:eastAsia="仿宋_GB2312" w:cs="Times New Roman"/>
          <w:sz w:val="32"/>
          <w:szCs w:val="32"/>
        </w:rPr>
        <w:t xml:space="preserve">一是处理负荷不升反降，全市乡镇污水处理设施第一季度负荷为29.76%，第二季度负荷为32.80%，上半年平均负荷31.37%，同比2021年度上半年平均负荷降低2%，海州区、赣榆区平均负荷超过40%，连云区、灌南县、灌云县、东海县负荷率不足40%。51座乡镇污水处理设施中上半年平均负荷率低于20%的有14座。详见附件4。二是问题整改仍不乐观。根据上半年我局对全市乡镇污水治理的现场评估情况，我市部分乡镇仍存在管网设施运行不规范、收集管网不维护、超标排污、污水直排或溢流、污水处理设施违规停产等情况。 </w:t>
      </w:r>
    </w:p>
    <w:p>
      <w:pPr>
        <w:keepNext w:val="0"/>
        <w:keepLines w:val="0"/>
        <w:pageBreakBefore w:val="0"/>
        <w:widowControl/>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（三）不重视信息系统数据填报。</w:t>
      </w:r>
      <w:r>
        <w:rPr>
          <w:rFonts w:hint="default" w:ascii="Times New Roman" w:hAnsi="Times New Roman" w:eastAsia="仿宋_GB2312" w:cs="Times New Roman"/>
          <w:sz w:val="32"/>
          <w:szCs w:val="32"/>
        </w:rPr>
        <w:t>部分县区仍出现迟报、误报、漏报情况，二季度连云区、灌云县、灌南县等乡镇污水处理设施数据填报不及时，连云区宿城街道污水处理厂5-6月份未填报数据部分，部分县区乡镇污水处理设施未填报污泥产生量，其中灌南县9座乡镇污水处理设施未填报污泥产生量，影响全市污泥信息填报完整率。详见附件6。</w:t>
      </w:r>
    </w:p>
    <w:p>
      <w:pPr>
        <w:keepNext w:val="0"/>
        <w:keepLines w:val="0"/>
        <w:pageBreakBefore w:val="0"/>
        <w:kinsoku/>
        <w:wordWrap/>
        <w:overflowPunct/>
        <w:topLinePunct/>
        <w:autoSpaceDE/>
        <w:autoSpaceDN/>
        <w:bidi w:val="0"/>
        <w:adjustRightInd/>
        <w:snapToGrid/>
        <w:spacing w:line="52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四、下一步工作要求</w:t>
      </w:r>
    </w:p>
    <w:p>
      <w:pPr>
        <w:keepNext w:val="0"/>
        <w:keepLines w:val="0"/>
        <w:pageBreakBefore w:val="0"/>
        <w:kinsoku/>
        <w:wordWrap/>
        <w:overflowPunct/>
        <w:autoSpaceDE/>
        <w:autoSpaceDN/>
        <w:bidi w:val="0"/>
        <w:adjustRightInd/>
        <w:snapToGrid/>
        <w:spacing w:line="520" w:lineRule="exact"/>
        <w:ind w:left="0" w:leftChars="0" w:firstLine="480" w:firstLineChars="15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kern w:val="32"/>
          <w:sz w:val="32"/>
          <w:szCs w:val="32"/>
        </w:rPr>
        <w:t>（一）加强组织领导。</w:t>
      </w:r>
      <w:r>
        <w:rPr>
          <w:rFonts w:hint="default" w:ascii="Times New Roman" w:hAnsi="Times New Roman" w:eastAsia="仿宋_GB2312" w:cs="Times New Roman"/>
          <w:color w:val="000000"/>
          <w:sz w:val="32"/>
          <w:szCs w:val="32"/>
        </w:rPr>
        <w:t>各县（市、区）政府是城镇生活污水处理设施建设和运行管理的责任主体，应按照《连云港市城镇生活污水处理提质增效实施方案》和《连云港市乡镇污水处理提质增效实施方案》的要求，做好统筹部署，把建设任务和运行管理责任分解落实到各有关部门，夯实责任，重点推进城镇污水处理提质增效。</w:t>
      </w:r>
    </w:p>
    <w:p>
      <w:pPr>
        <w:keepNext w:val="0"/>
        <w:keepLines w:val="0"/>
        <w:pageBreakBefore w:val="0"/>
        <w:kinsoku/>
        <w:wordWrap/>
        <w:overflowPunct/>
        <w:autoSpaceDE/>
        <w:autoSpaceDN/>
        <w:bidi w:val="0"/>
        <w:adjustRightInd/>
        <w:snapToGrid/>
        <w:spacing w:line="520" w:lineRule="exact"/>
        <w:ind w:left="0" w:leftChars="0" w:firstLine="480" w:firstLineChars="15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kern w:val="32"/>
          <w:sz w:val="32"/>
          <w:szCs w:val="32"/>
        </w:rPr>
        <w:t>（二）加强监督考核。</w:t>
      </w:r>
      <w:r>
        <w:rPr>
          <w:rFonts w:hint="default" w:ascii="Times New Roman" w:hAnsi="Times New Roman" w:eastAsia="仿宋_GB2312" w:cs="Times New Roman"/>
          <w:color w:val="000000"/>
          <w:sz w:val="32"/>
          <w:szCs w:val="32"/>
        </w:rPr>
        <w:t>县区主管部门要履行监管职责，定期组织城镇污水处理设施运行情况检查与考核，制定相关考核细则，强化对考核结果使用，及时通报建设运行情况，并将通报情况报我局备案。各县区会同本级环保部门要求，建立完善的审批和报备流程，切实做好城镇污水处理厂停产和减产监管。</w:t>
      </w:r>
    </w:p>
    <w:p>
      <w:pPr>
        <w:keepNext w:val="0"/>
        <w:keepLines w:val="0"/>
        <w:pageBreakBefore w:val="0"/>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kern w:val="32"/>
          <w:sz w:val="32"/>
          <w:szCs w:val="32"/>
        </w:rPr>
        <w:t>（三）加强信息统计报送。</w:t>
      </w:r>
      <w:r>
        <w:rPr>
          <w:rFonts w:hint="default" w:ascii="Times New Roman" w:hAnsi="Times New Roman" w:eastAsia="仿宋_GB2312" w:cs="Times New Roman"/>
          <w:color w:val="000000"/>
          <w:sz w:val="32"/>
          <w:szCs w:val="32"/>
        </w:rPr>
        <w:t>各县区指定专人负责信息统计，层层把关，确保相关数据真实准确，及时维护全国、全省城镇污水处理信息管理系统，尤其要重视全省污水处理信息管理系统数据填报，注重报送数据的完整性和及时性。污泥产生和处置及时按时填报，未产生污泥则填报产生量零；日报数据最迟不得滞后一周，月度报表次月8日前完成审核报送，季度报表于季后次月15日前完成报送。</w:t>
      </w:r>
    </w:p>
    <w:p>
      <w:pPr>
        <w:keepNext w:val="0"/>
        <w:keepLines w:val="0"/>
        <w:pageBreakBefore w:val="0"/>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附件:1.全市城镇污水处理设施现状情况表</w:t>
      </w:r>
    </w:p>
    <w:p>
      <w:pPr>
        <w:keepNext w:val="0"/>
        <w:keepLines w:val="0"/>
        <w:pageBreakBefore w:val="0"/>
        <w:kinsoku/>
        <w:wordWrap/>
        <w:overflowPunct/>
        <w:autoSpaceDE/>
        <w:autoSpaceDN/>
        <w:bidi w:val="0"/>
        <w:adjustRightInd/>
        <w:snapToGrid/>
        <w:spacing w:line="520" w:lineRule="exact"/>
        <w:ind w:left="0" w:leftChars="0" w:firstLine="1337" w:firstLineChars="418"/>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第二季度</w:t>
      </w:r>
      <w:r>
        <w:rPr>
          <w:rFonts w:hint="default" w:ascii="Times New Roman" w:hAnsi="Times New Roman" w:eastAsia="仿宋_GB2312" w:cs="Times New Roman"/>
          <w:color w:val="000000"/>
          <w:sz w:val="32"/>
          <w:szCs w:val="32"/>
        </w:rPr>
        <w:t>停产减产城镇污水处理厂情况表</w:t>
      </w:r>
    </w:p>
    <w:p>
      <w:pPr>
        <w:keepNext w:val="0"/>
        <w:keepLines w:val="0"/>
        <w:pageBreakBefore w:val="0"/>
        <w:kinsoku/>
        <w:wordWrap/>
        <w:overflowPunct/>
        <w:autoSpaceDE/>
        <w:autoSpaceDN/>
        <w:bidi w:val="0"/>
        <w:adjustRightInd/>
        <w:snapToGrid/>
        <w:spacing w:line="520" w:lineRule="exact"/>
        <w:ind w:left="0" w:leftChars="0" w:firstLine="1318" w:firstLineChars="412"/>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3.城市污水处理厂</w:t>
      </w:r>
      <w:r>
        <w:rPr>
          <w:rFonts w:hint="default" w:ascii="Times New Roman" w:hAnsi="Times New Roman" w:eastAsia="仿宋_GB2312" w:cs="Times New Roman"/>
          <w:color w:val="000000"/>
          <w:sz w:val="32"/>
          <w:szCs w:val="32"/>
          <w:lang w:val="en-US" w:eastAsia="zh-CN"/>
        </w:rPr>
        <w:t>2022年</w:t>
      </w:r>
      <w:r>
        <w:rPr>
          <w:rFonts w:hint="default" w:ascii="Times New Roman" w:hAnsi="Times New Roman" w:eastAsia="仿宋_GB2312" w:cs="Times New Roman"/>
          <w:color w:val="000000"/>
          <w:sz w:val="32"/>
          <w:szCs w:val="32"/>
        </w:rPr>
        <w:t>上半年运行情况表</w:t>
      </w:r>
    </w:p>
    <w:p>
      <w:pPr>
        <w:keepNext w:val="0"/>
        <w:keepLines w:val="0"/>
        <w:pageBreakBefore w:val="0"/>
        <w:kinsoku/>
        <w:wordWrap/>
        <w:overflowPunct/>
        <w:autoSpaceDE/>
        <w:autoSpaceDN/>
        <w:bidi w:val="0"/>
        <w:adjustRightInd/>
        <w:snapToGrid/>
        <w:spacing w:line="520" w:lineRule="exact"/>
        <w:ind w:left="0" w:leftChars="0" w:firstLine="1318" w:firstLineChars="412"/>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4.城市污水处理厂水质检测结果</w:t>
      </w:r>
    </w:p>
    <w:p>
      <w:pPr>
        <w:keepNext w:val="0"/>
        <w:keepLines w:val="0"/>
        <w:pageBreakBefore w:val="0"/>
        <w:kinsoku/>
        <w:wordWrap/>
        <w:overflowPunct/>
        <w:autoSpaceDE/>
        <w:autoSpaceDN/>
        <w:bidi w:val="0"/>
        <w:adjustRightInd/>
        <w:snapToGrid/>
        <w:spacing w:line="520" w:lineRule="exact"/>
        <w:ind w:left="0" w:leftChars="0" w:firstLine="1318" w:firstLineChars="412"/>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2022年上半年</w:t>
      </w:r>
      <w:r>
        <w:rPr>
          <w:rFonts w:hint="default" w:ascii="Times New Roman" w:hAnsi="Times New Roman" w:eastAsia="仿宋_GB2312" w:cs="Times New Roman"/>
          <w:color w:val="000000"/>
          <w:sz w:val="32"/>
          <w:szCs w:val="32"/>
        </w:rPr>
        <w:t>乡镇污水处理设施运行情况表</w:t>
      </w:r>
    </w:p>
    <w:p>
      <w:pPr>
        <w:keepNext w:val="0"/>
        <w:keepLines w:val="0"/>
        <w:pageBreakBefore w:val="0"/>
        <w:kinsoku/>
        <w:wordWrap/>
        <w:overflowPunct/>
        <w:autoSpaceDE/>
        <w:autoSpaceDN/>
        <w:bidi w:val="0"/>
        <w:adjustRightInd/>
        <w:snapToGrid/>
        <w:spacing w:line="520" w:lineRule="exact"/>
        <w:ind w:left="0" w:leftChars="0" w:firstLine="1280" w:firstLineChars="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.省城镇污水处理信息管理系统</w:t>
      </w:r>
      <w:r>
        <w:rPr>
          <w:rFonts w:hint="default" w:ascii="Times New Roman" w:hAnsi="Times New Roman"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rPr>
        <w:t>季度报送情况表</w:t>
      </w:r>
    </w:p>
    <w:p>
      <w:pPr>
        <w:keepNext w:val="0"/>
        <w:keepLines w:val="0"/>
        <w:pageBreakBefore w:val="0"/>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kinsoku/>
        <w:wordWrap/>
        <w:overflowPunct/>
        <w:autoSpaceDE/>
        <w:autoSpaceDN/>
        <w:bidi w:val="0"/>
        <w:adjustRightInd/>
        <w:snapToGrid/>
        <w:spacing w:line="520" w:lineRule="exact"/>
        <w:ind w:left="0" w:leftChars="0" w:firstLine="3520" w:firstLineChars="1100"/>
        <w:textAlignment w:val="auto"/>
        <w:rPr>
          <w:rFonts w:hint="default" w:ascii="Times New Roman" w:hAnsi="Times New Roman" w:eastAsia="仿宋_GB2312" w:cs="Times New Roman"/>
          <w:sz w:val="32"/>
          <w:szCs w:val="32"/>
        </w:rPr>
      </w:pPr>
    </w:p>
    <w:p>
      <w:pPr>
        <w:keepNext w:val="0"/>
        <w:keepLines w:val="0"/>
        <w:pageBreakBefore w:val="0"/>
        <w:kinsoku/>
        <w:wordWrap/>
        <w:overflowPunct/>
        <w:autoSpaceDE/>
        <w:autoSpaceDN/>
        <w:bidi w:val="0"/>
        <w:adjustRightInd/>
        <w:snapToGrid/>
        <w:spacing w:line="520" w:lineRule="exact"/>
        <w:ind w:left="0" w:lef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autoSpaceDE/>
        <w:autoSpaceDN/>
        <w:bidi w:val="0"/>
        <w:adjustRightInd/>
        <w:snapToGrid/>
        <w:spacing w:line="520" w:lineRule="exact"/>
        <w:ind w:left="0" w:leftChars="0" w:firstLine="3520" w:firstLineChars="1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连云港市住房和城乡建设局</w:t>
      </w:r>
    </w:p>
    <w:p>
      <w:pPr>
        <w:keepNext w:val="0"/>
        <w:keepLines w:val="0"/>
        <w:pageBreakBefore w:val="0"/>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p>
    <w:p>
      <w:pPr>
        <w:keepNext w:val="0"/>
        <w:keepLines w:val="0"/>
        <w:pageBreakBefore w:val="0"/>
        <w:kinsoku/>
        <w:wordWrap/>
        <w:overflowPunct/>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p>
    <w:p>
      <w:pPr>
        <w:spacing w:line="560" w:lineRule="exact"/>
        <w:rPr>
          <w:rFonts w:hint="eastAsia" w:ascii="黑体" w:eastAsia="黑体" w:cs="黑体"/>
          <w:sz w:val="32"/>
          <w:szCs w:val="32"/>
        </w:rPr>
      </w:pPr>
    </w:p>
    <w:p>
      <w:pPr>
        <w:keepNext w:val="0"/>
        <w:keepLines w:val="0"/>
        <w:pageBreakBefore w:val="0"/>
        <w:widowControl w:val="0"/>
        <w:pBdr>
          <w:top w:val="single" w:color="auto" w:sz="4" w:space="0"/>
        </w:pBdr>
        <w:kinsoku/>
        <w:wordWrap/>
        <w:overflowPunct/>
        <w:topLinePunct w:val="0"/>
        <w:autoSpaceDE/>
        <w:autoSpaceDN/>
        <w:bidi w:val="0"/>
        <w:adjustRightInd/>
        <w:snapToGrid/>
        <w:spacing w:line="600" w:lineRule="exact"/>
        <w:ind w:firstLine="280" w:firstLineChars="100"/>
        <w:textAlignment w:val="auto"/>
        <w:rPr>
          <w:rFonts w:hint="eastAsia" w:ascii="黑体" w:eastAsia="仿宋_GB2312" w:cs="黑体"/>
          <w:sz w:val="32"/>
          <w:szCs w:val="32"/>
          <w:lang w:eastAsia="zh-CN"/>
        </w:rPr>
      </w:pPr>
      <w:r>
        <w:rPr>
          <w:rFonts w:hint="default" w:ascii="Times New Roman" w:hAnsi="Times New Roman" w:eastAsia="仿宋_GB2312" w:cs="Times New Roman"/>
          <w:sz w:val="28"/>
          <w:szCs w:val="28"/>
        </w:rPr>
        <w:t>抄</w:t>
      </w:r>
      <w:r>
        <w:rPr>
          <w:rFonts w:hint="default" w:ascii="Times New Roman" w:hAnsi="Times New Roman" w:eastAsia="仿宋_GB2312" w:cs="Times New Roman"/>
          <w:sz w:val="28"/>
          <w:szCs w:val="28"/>
          <w:lang w:val="en-US" w:eastAsia="zh-CN"/>
        </w:rPr>
        <w:t>送：</w:t>
      </w:r>
      <w:r>
        <w:rPr>
          <w:rFonts w:hint="default" w:ascii="Times New Roman" w:hAnsi="Times New Roman" w:eastAsia="仿宋_GB2312" w:cs="Times New Roman"/>
          <w:sz w:val="28"/>
          <w:szCs w:val="28"/>
        </w:rPr>
        <w:t>市政府</w:t>
      </w:r>
      <w:r>
        <w:rPr>
          <w:rFonts w:hint="default" w:ascii="Times New Roman" w:hAnsi="Times New Roman" w:eastAsia="仿宋_GB2312" w:cs="Times New Roman"/>
          <w:sz w:val="28"/>
          <w:szCs w:val="28"/>
          <w:lang w:eastAsia="zh-CN"/>
        </w:rPr>
        <w:t>，</w:t>
      </w:r>
      <w:bookmarkStart w:id="2" w:name="_GoBack"/>
      <w:bookmarkEnd w:id="2"/>
      <w:r>
        <w:rPr>
          <w:rFonts w:hint="default" w:ascii="Times New Roman" w:hAnsi="Times New Roman" w:eastAsia="仿宋_GB2312" w:cs="Times New Roman"/>
          <w:sz w:val="28"/>
          <w:szCs w:val="28"/>
        </w:rPr>
        <w:t>各县区住建局</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东海县水务局</w:t>
      </w:r>
      <w:r>
        <w:rPr>
          <w:rFonts w:hint="default" w:ascii="Times New Roman" w:hAnsi="Times New Roman" w:eastAsia="仿宋_GB2312" w:cs="Times New Roman"/>
          <w:sz w:val="28"/>
          <w:szCs w:val="28"/>
          <w:lang w:eastAsia="zh-CN"/>
        </w:rPr>
        <w:t>。</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600" w:lineRule="exact"/>
        <w:ind w:firstLine="280" w:firstLineChars="1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连云港市住房和城乡建设局办公室</w:t>
      </w:r>
      <w:r>
        <w:rPr>
          <w:rFonts w:hint="eastAsia" w:ascii="Times New Roman" w:eastAsia="仿宋_GB2312" w:cs="Times New Roman"/>
          <w:sz w:val="28"/>
          <w:szCs w:val="28"/>
          <w:lang w:val="en-US" w:eastAsia="zh-CN"/>
        </w:rPr>
        <w:t xml:space="preserve">      2022年9月20日印发</w:t>
      </w: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全市城镇污水处理设施现状情况表</w:t>
      </w:r>
    </w:p>
    <w:tbl>
      <w:tblPr>
        <w:tblStyle w:val="11"/>
        <w:tblW w:w="91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0"/>
        <w:gridCol w:w="1080"/>
        <w:gridCol w:w="3396"/>
        <w:gridCol w:w="708"/>
        <w:gridCol w:w="1134"/>
        <w:gridCol w:w="113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0"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序号</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区县</w:t>
            </w:r>
          </w:p>
        </w:tc>
        <w:tc>
          <w:tcPr>
            <w:tcW w:w="3396"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污水厂名称</w:t>
            </w:r>
          </w:p>
        </w:tc>
        <w:tc>
          <w:tcPr>
            <w:tcW w:w="708"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类别</w:t>
            </w:r>
          </w:p>
        </w:tc>
        <w:tc>
          <w:tcPr>
            <w:tcW w:w="1134" w:type="dxa"/>
            <w:tcBorders>
              <w:top w:val="single" w:color="auto" w:sz="8" w:space="0"/>
              <w:left w:val="nil"/>
              <w:bottom w:val="nil"/>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规模</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排放标准</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运行状态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708"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1134"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（万吨）</w:t>
            </w: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连云区</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连岛污水处理厂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0.075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连云老街污水处理站</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墟沟污水处理厂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宿城污水处理厂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连云区合计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4座污水处理设施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4.225</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大浦污水处理二厂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开发区合计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10</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海州区</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城南污水处理厂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大浦污水处理厂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锦屏污水处理厂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浦南污水处理厂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新坝镇污水处理厂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0.03</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海州区合计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5座污水处理设施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18.08</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赣榆区</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创联污水处理厂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班庄镇清远生活污水处理有限公司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城头镇为民生活污水处理有限公司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墩尚镇洁达污水处理厂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赣榆县城西镇污水处理厂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黑林镇林清生活污水处理厂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厉庄镇中心污水处理厂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连云港石清污水处理有限公司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19</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沙河镇建民生活污水处理厂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塔山镇城前污水处理有限公司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21</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塔山镇土城污水处理有限公司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赣榆区合计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11座污水处理设施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7.06</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22</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东海县</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城东污水处理厂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西湖污水处理厂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安峰镇污水处理厂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白塔埠镇污水处理厂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房山镇污水处理厂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洪庄镇东塔桥村生活污水处理厂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黄川镇污水处理厂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29</w:t>
            </w:r>
          </w:p>
        </w:tc>
        <w:tc>
          <w:tcPr>
            <w:tcW w:w="1080" w:type="dxa"/>
            <w:vMerge w:val="continue"/>
            <w:tcBorders>
              <w:top w:val="nil"/>
              <w:left w:val="single" w:color="000000" w:sz="8" w:space="0"/>
              <w:bottom w:val="single" w:color="auto" w:sz="4"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李埝乡生活污水处理厂</w:t>
            </w:r>
          </w:p>
        </w:tc>
        <w:tc>
          <w:tcPr>
            <w:tcW w:w="708"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30</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rPr>
            </w:pPr>
          </w:p>
        </w:tc>
        <w:tc>
          <w:tcPr>
            <w:tcW w:w="3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平明镇污水处理厂</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31</w:t>
            </w:r>
          </w:p>
        </w:tc>
        <w:tc>
          <w:tcPr>
            <w:tcW w:w="1080" w:type="dxa"/>
            <w:vMerge w:val="continue"/>
            <w:tcBorders>
              <w:top w:val="single" w:color="auto" w:sz="4" w:space="0"/>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青湖镇污水处理厂</w:t>
            </w:r>
          </w:p>
        </w:tc>
        <w:tc>
          <w:tcPr>
            <w:tcW w:w="708"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一级B</w:t>
            </w:r>
          </w:p>
        </w:tc>
        <w:tc>
          <w:tcPr>
            <w:tcW w:w="1134"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曲阳乡赵庄村生活污水处理厂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山左口乡山西村生活污水处理厂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石湖乡小娄村生活污水处理厂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石梁河镇污水处理厂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双店镇新昌沂村生活污水处理厂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桃林镇小桃林村污水处理厂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温泉镇污水处理厂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39</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张湾乡后湾村生活污水处理厂</w:t>
            </w:r>
          </w:p>
        </w:tc>
        <w:tc>
          <w:tcPr>
            <w:tcW w:w="708"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驼峰乡生活污水处理厂</w:t>
            </w:r>
          </w:p>
        </w:tc>
        <w:tc>
          <w:tcPr>
            <w:tcW w:w="708"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东海县合计</w:t>
            </w:r>
          </w:p>
        </w:tc>
        <w:tc>
          <w:tcPr>
            <w:tcW w:w="3396"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19座污水处理设施</w:t>
            </w:r>
          </w:p>
        </w:tc>
        <w:tc>
          <w:tcPr>
            <w:tcW w:w="708"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8</w:t>
            </w: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000000"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灌云县</w:t>
            </w: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南风污水厂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42</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东王集污水处理厂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43</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龙苴污水厂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44</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南岗乡污水处理厂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45</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四队污水厂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46</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同兴镇污水厂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0.3</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47</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图河镇污水处理厂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48</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下车镇污水处理厂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50</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杨集污水厂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51</w:t>
            </w:r>
          </w:p>
        </w:tc>
        <w:tc>
          <w:tcPr>
            <w:tcW w:w="1080" w:type="dxa"/>
            <w:vMerge w:val="continue"/>
            <w:tcBorders>
              <w:top w:val="nil"/>
              <w:left w:val="single" w:color="000000" w:sz="8" w:space="0"/>
              <w:bottom w:val="single" w:color="000000" w:sz="8" w:space="0"/>
              <w:right w:val="single" w:color="000000"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圩丰污水厂</w:t>
            </w:r>
          </w:p>
        </w:tc>
        <w:tc>
          <w:tcPr>
            <w:tcW w:w="708"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auto" w:sz="8" w:space="0"/>
              <w:left w:val="single" w:color="000000" w:sz="8" w:space="0"/>
              <w:bottom w:val="single" w:color="auto" w:sz="8" w:space="0"/>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灌云县合计</w:t>
            </w:r>
          </w:p>
        </w:tc>
        <w:tc>
          <w:tcPr>
            <w:tcW w:w="3396"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w:t>
            </w:r>
            <w:r>
              <w:rPr>
                <w:rFonts w:hint="default" w:ascii="Times New Roman" w:hAnsi="Times New Roman" w:eastAsia="宋体" w:cs="Times New Roman"/>
                <w:b/>
                <w:bCs/>
                <w:color w:val="000000"/>
                <w:kern w:val="0"/>
                <w:sz w:val="20"/>
                <w:szCs w:val="20"/>
                <w:lang w:val="en-US" w:eastAsia="zh-CN"/>
              </w:rPr>
              <w:t>0</w:t>
            </w:r>
            <w:r>
              <w:rPr>
                <w:rFonts w:hint="default" w:ascii="Times New Roman" w:hAnsi="Times New Roman" w:eastAsia="宋体" w:cs="Times New Roman"/>
                <w:b/>
                <w:bCs/>
                <w:color w:val="000000"/>
                <w:kern w:val="0"/>
                <w:sz w:val="20"/>
                <w:szCs w:val="20"/>
              </w:rPr>
              <w:t>座污水处理设施</w:t>
            </w:r>
          </w:p>
        </w:tc>
        <w:tc>
          <w:tcPr>
            <w:tcW w:w="708"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lang w:val="en-US" w:eastAsia="zh-CN"/>
              </w:rPr>
            </w:pPr>
            <w:r>
              <w:rPr>
                <w:rFonts w:hint="default" w:ascii="Times New Roman" w:hAnsi="Times New Roman" w:eastAsia="宋体" w:cs="Times New Roman"/>
                <w:b/>
                <w:bCs/>
                <w:color w:val="000000"/>
                <w:kern w:val="0"/>
                <w:sz w:val="20"/>
                <w:szCs w:val="20"/>
              </w:rPr>
              <w:t>9.4</w:t>
            </w:r>
            <w:r>
              <w:rPr>
                <w:rFonts w:hint="default" w:ascii="Times New Roman" w:hAnsi="Times New Roman" w:eastAsia="宋体" w:cs="Times New Roman"/>
                <w:b/>
                <w:bCs/>
                <w:color w:val="000000"/>
                <w:kern w:val="0"/>
                <w:sz w:val="20"/>
                <w:szCs w:val="20"/>
                <w:lang w:val="en-US" w:eastAsia="zh-CN"/>
              </w:rPr>
              <w:t>0</w:t>
            </w:r>
          </w:p>
        </w:tc>
        <w:tc>
          <w:tcPr>
            <w:tcW w:w="1134"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nil"/>
              <w:right w:val="single" w:color="000000"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52</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w:t>
            </w:r>
          </w:p>
        </w:tc>
        <w:tc>
          <w:tcPr>
            <w:tcW w:w="339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灌南城西污水处理厂</w:t>
            </w:r>
          </w:p>
        </w:tc>
        <w:tc>
          <w:tcPr>
            <w:tcW w:w="70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53</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灌南县城东污水处理厂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城市</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54</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百禄污水厂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55</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堆沟污水厂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56</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灌南县上淋污水处理厂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57</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灌南县新集污水处理有限公司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58</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孟兴庄污水厂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59</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三口镇污水处理厂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60</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汤沟镇污水处理厂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61</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田楼镇污水处理厂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62</w:t>
            </w:r>
          </w:p>
        </w:tc>
        <w:tc>
          <w:tcPr>
            <w:tcW w:w="1080" w:type="dxa"/>
            <w:vMerge w:val="continue"/>
            <w:tcBorders>
              <w:top w:val="nil"/>
              <w:left w:val="single" w:color="auto" w:sz="8" w:space="0"/>
              <w:bottom w:val="single" w:color="000000" w:sz="8" w:space="0"/>
              <w:right w:val="single" w:color="auto" w:sz="8" w:space="0"/>
            </w:tcBorders>
            <w:vAlign w:val="center"/>
          </w:tcPr>
          <w:p>
            <w:pPr>
              <w:rPr>
                <w:rFonts w:hint="default" w:ascii="Times New Roman" w:hAnsi="Times New Roman" w:cs="Times New Roman"/>
              </w:rPr>
            </w:pPr>
          </w:p>
        </w:tc>
        <w:tc>
          <w:tcPr>
            <w:tcW w:w="339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张店污水厂</w:t>
            </w:r>
          </w:p>
        </w:tc>
        <w:tc>
          <w:tcPr>
            <w:tcW w:w="708"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一级A</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nil"/>
              <w:left w:val="single" w:color="auto" w:sz="8" w:space="0"/>
              <w:bottom w:val="single" w:color="auto" w:sz="8" w:space="0"/>
              <w:right w:val="single" w:color="000000"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灌南县合计</w:t>
            </w:r>
          </w:p>
        </w:tc>
        <w:tc>
          <w:tcPr>
            <w:tcW w:w="3396"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11座污水处理设施</w:t>
            </w:r>
          </w:p>
        </w:tc>
        <w:tc>
          <w:tcPr>
            <w:tcW w:w="708"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4.35</w:t>
            </w: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1680" w:type="dxa"/>
            <w:gridSpan w:val="2"/>
            <w:tcBorders>
              <w:top w:val="single" w:color="auto" w:sz="8" w:space="0"/>
              <w:left w:val="single" w:color="auto" w:sz="8" w:space="0"/>
              <w:bottom w:val="single" w:color="auto" w:sz="8" w:space="0"/>
              <w:right w:val="single" w:color="000000"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全市合计</w:t>
            </w:r>
          </w:p>
        </w:tc>
        <w:tc>
          <w:tcPr>
            <w:tcW w:w="3396"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全市6</w:t>
            </w:r>
            <w:r>
              <w:rPr>
                <w:rFonts w:hint="default" w:ascii="Times New Roman" w:hAnsi="Times New Roman" w:eastAsia="宋体" w:cs="Times New Roman"/>
                <w:b/>
                <w:bCs/>
                <w:color w:val="000000"/>
                <w:kern w:val="0"/>
                <w:sz w:val="20"/>
                <w:szCs w:val="20"/>
                <w:lang w:val="en-US" w:eastAsia="zh-CN"/>
              </w:rPr>
              <w:t>1</w:t>
            </w:r>
            <w:r>
              <w:rPr>
                <w:rFonts w:hint="default" w:ascii="Times New Roman" w:hAnsi="Times New Roman" w:eastAsia="宋体" w:cs="Times New Roman"/>
                <w:b/>
                <w:bCs/>
                <w:color w:val="000000"/>
                <w:kern w:val="0"/>
                <w:sz w:val="20"/>
                <w:szCs w:val="20"/>
              </w:rPr>
              <w:t>座污水处理设施</w:t>
            </w:r>
          </w:p>
        </w:tc>
        <w:tc>
          <w:tcPr>
            <w:tcW w:w="708"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r>
              <w:rPr>
                <w:rFonts w:hint="default" w:ascii="Times New Roman" w:hAnsi="Times New Roman" w:eastAsia="宋体" w:cs="Times New Roman"/>
                <w:b/>
                <w:bCs/>
                <w:color w:val="000000"/>
                <w:kern w:val="0"/>
                <w:sz w:val="20"/>
                <w:szCs w:val="20"/>
              </w:rPr>
              <w:t>61.1</w:t>
            </w:r>
            <w:r>
              <w:rPr>
                <w:rFonts w:hint="default" w:ascii="Times New Roman" w:hAnsi="Times New Roman" w:eastAsia="宋体" w:cs="Times New Roman"/>
                <w:b/>
                <w:bCs/>
                <w:color w:val="000000"/>
                <w:kern w:val="0"/>
                <w:sz w:val="20"/>
                <w:szCs w:val="20"/>
                <w:lang w:val="en-US" w:eastAsia="zh-CN"/>
              </w:rPr>
              <w:t>1</w:t>
            </w:r>
            <w:r>
              <w:rPr>
                <w:rFonts w:hint="default" w:ascii="Times New Roman" w:hAnsi="Times New Roman" w:eastAsia="宋体" w:cs="Times New Roman"/>
                <w:b/>
                <w:bCs/>
                <w:color w:val="000000"/>
                <w:kern w:val="0"/>
                <w:sz w:val="20"/>
                <w:szCs w:val="20"/>
              </w:rPr>
              <w:t>5</w:t>
            </w: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c>
          <w:tcPr>
            <w:tcW w:w="1134" w:type="dxa"/>
            <w:tcBorders>
              <w:top w:val="nil"/>
              <w:left w:val="nil"/>
              <w:bottom w:val="single" w:color="auto" w:sz="8" w:space="0"/>
              <w:right w:val="single" w:color="auto" w:sz="8" w:space="0"/>
            </w:tcBorders>
            <w:shd w:val="clear" w:color="000000" w:fill="D9D9D9"/>
            <w:noWrap/>
            <w:vAlign w:val="center"/>
          </w:tcPr>
          <w:p>
            <w:pPr>
              <w:widowControl/>
              <w:jc w:val="center"/>
              <w:rPr>
                <w:rFonts w:hint="default" w:ascii="Times New Roman" w:hAnsi="Times New Roman" w:eastAsia="宋体" w:cs="Times New Roman"/>
                <w:b/>
                <w:bCs/>
                <w:color w:val="000000"/>
                <w:kern w:val="0"/>
                <w:sz w:val="20"/>
                <w:szCs w:val="20"/>
              </w:rPr>
            </w:pPr>
          </w:p>
        </w:tc>
      </w:tr>
    </w:tbl>
    <w:p>
      <w:pPr>
        <w:spacing w:line="560" w:lineRule="exact"/>
        <w:jc w:val="center"/>
        <w:rPr>
          <w:rFonts w:ascii="Times New Roman" w:hAnsi="Times New Roman" w:eastAsia="方正小标宋_GBK" w:cs="Times New Roman"/>
          <w:sz w:val="36"/>
          <w:szCs w:val="36"/>
        </w:rPr>
        <w:sectPr>
          <w:headerReference r:id="rId3" w:type="default"/>
          <w:footerReference r:id="rId4" w:type="default"/>
          <w:pgSz w:w="11906" w:h="16838"/>
          <w:pgMar w:top="1304" w:right="1797" w:bottom="1304" w:left="1797" w:header="851" w:footer="992" w:gutter="0"/>
          <w:pgNumType w:fmt="numberInDash"/>
          <w:cols w:space="720"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第二季度停产减产城镇污水处理厂情况表</w:t>
      </w:r>
    </w:p>
    <w:p>
      <w:pPr>
        <w:spacing w:line="560" w:lineRule="exact"/>
        <w:jc w:val="center"/>
        <w:rPr>
          <w:rFonts w:ascii="黑体" w:eastAsia="黑体" w:cs="黑体"/>
          <w:sz w:val="32"/>
          <w:szCs w:val="32"/>
        </w:rPr>
      </w:pPr>
    </w:p>
    <w:tbl>
      <w:tblPr>
        <w:tblStyle w:val="11"/>
        <w:tblW w:w="12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026"/>
        <w:gridCol w:w="2268"/>
        <w:gridCol w:w="2219"/>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县区</w:t>
            </w:r>
          </w:p>
        </w:tc>
        <w:tc>
          <w:tcPr>
            <w:tcW w:w="3026"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名称</w:t>
            </w:r>
          </w:p>
        </w:tc>
        <w:tc>
          <w:tcPr>
            <w:tcW w:w="2268"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规模（万吨/日）</w:t>
            </w:r>
          </w:p>
        </w:tc>
        <w:tc>
          <w:tcPr>
            <w:tcW w:w="2219"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停产减产时间</w:t>
            </w:r>
          </w:p>
        </w:tc>
        <w:tc>
          <w:tcPr>
            <w:tcW w:w="3549" w:type="dxa"/>
            <w:vAlign w:val="center"/>
          </w:tcPr>
          <w:p>
            <w:pPr>
              <w:widowControl/>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连云区</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宿城污水处理厂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0.1</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5-6月份</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5-6月份停产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东海县</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石湖乡小娄村污水处理厂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0.5</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二季度进水长期低于10m2/日以下，负荷率仅为1%，减产状态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东海县</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双店镇污水处理厂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0.25</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二季度平均负荷低于2%，停产减产状态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东海县</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石梁河镇污水处理厂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0.05</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二季度进水长期低于10m2/日以下，负荷率不足2%，减产状态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东海县</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山左口乡山西村生活污水处理厂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0.05</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二季度进水长期低于5m2/日以下，减产状态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灌云县</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同兴镇污水处理厂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0.3</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6月份</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6月份有一周停产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灌云县</w:t>
            </w:r>
          </w:p>
        </w:tc>
        <w:tc>
          <w:tcPr>
            <w:tcW w:w="3026"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下车镇污水处理厂</w:t>
            </w:r>
          </w:p>
        </w:tc>
        <w:tc>
          <w:tcPr>
            <w:tcW w:w="2268"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0.2</w:t>
            </w:r>
          </w:p>
        </w:tc>
        <w:tc>
          <w:tcPr>
            <w:tcW w:w="221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5月份</w:t>
            </w:r>
          </w:p>
        </w:tc>
        <w:tc>
          <w:tcPr>
            <w:tcW w:w="3549" w:type="dxa"/>
            <w:vAlign w:val="center"/>
          </w:tcPr>
          <w:p>
            <w:pPr>
              <w:widowControl/>
              <w:jc w:val="cente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5月份有17天停产</w:t>
            </w:r>
          </w:p>
        </w:tc>
      </w:tr>
    </w:tbl>
    <w:p>
      <w:pPr>
        <w:spacing w:line="560" w:lineRule="exact"/>
        <w:rPr>
          <w:rFonts w:ascii="黑体" w:eastAsia="黑体" w:cs="黑体"/>
          <w:sz w:val="32"/>
          <w:szCs w:val="32"/>
        </w:rPr>
      </w:pPr>
    </w:p>
    <w:p>
      <w:pPr>
        <w:spacing w:line="560" w:lineRule="exact"/>
        <w:rPr>
          <w:rFonts w:ascii="黑体" w:eastAsia="黑体" w:cs="黑体"/>
          <w:sz w:val="32"/>
          <w:szCs w:val="32"/>
        </w:rPr>
      </w:pPr>
    </w:p>
    <w:p>
      <w:pPr>
        <w:spacing w:line="560" w:lineRule="exact"/>
        <w:rPr>
          <w:rFonts w:ascii="黑体" w:eastAsia="黑体" w:cs="黑体"/>
          <w:sz w:val="32"/>
          <w:szCs w:val="32"/>
        </w:rPr>
      </w:pPr>
    </w:p>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560" w:lineRule="exact"/>
        <w:jc w:val="center"/>
        <w:rPr>
          <w:rFonts w:ascii="方正小标宋简体" w:eastAsia="方正小标宋简体" w:cs="黑体"/>
          <w:sz w:val="44"/>
          <w:szCs w:val="44"/>
        </w:rPr>
      </w:pPr>
      <w:r>
        <w:rPr>
          <w:rFonts w:hint="eastAsia" w:ascii="方正小标宋简体" w:eastAsia="方正小标宋简体" w:cs="黑体"/>
          <w:sz w:val="44"/>
          <w:szCs w:val="44"/>
        </w:rPr>
        <w:t>城市污水处理厂2022年上半年运行情况表</w:t>
      </w:r>
    </w:p>
    <w:p>
      <w:pPr>
        <w:spacing w:line="560" w:lineRule="exact"/>
        <w:jc w:val="center"/>
        <w:rPr>
          <w:rFonts w:ascii="黑体" w:eastAsia="黑体" w:cs="黑体"/>
          <w:sz w:val="44"/>
          <w:szCs w:val="44"/>
        </w:rPr>
      </w:pPr>
    </w:p>
    <w:tbl>
      <w:tblPr>
        <w:tblStyle w:val="11"/>
        <w:tblW w:w="134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1"/>
        <w:gridCol w:w="1275"/>
        <w:gridCol w:w="1275"/>
        <w:gridCol w:w="945"/>
        <w:gridCol w:w="1065"/>
        <w:gridCol w:w="1140"/>
        <w:gridCol w:w="1116"/>
        <w:gridCol w:w="1251"/>
        <w:gridCol w:w="127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270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污水处理厂名称</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规模（万吨/日）</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处理水量（万吨）</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负荷率%</w:t>
            </w:r>
          </w:p>
        </w:tc>
        <w:tc>
          <w:tcPr>
            <w:tcW w:w="220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2022</w:t>
            </w:r>
            <w:r>
              <w:rPr>
                <w:rFonts w:hint="default" w:ascii="Times New Roman" w:hAnsi="Times New Roman" w:eastAsia="黑体" w:cs="Times New Roman"/>
                <w:color w:val="000000"/>
                <w:kern w:val="0"/>
                <w:sz w:val="24"/>
                <w:szCs w:val="24"/>
              </w:rPr>
              <w:t>年上半年进水浓度（mg/L）</w:t>
            </w:r>
          </w:p>
        </w:tc>
        <w:tc>
          <w:tcPr>
            <w:tcW w:w="236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2021年上半年进水浓度（mg/L）</w:t>
            </w:r>
          </w:p>
        </w:tc>
        <w:tc>
          <w:tcPr>
            <w:tcW w:w="269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kern w:val="0"/>
                <w:sz w:val="24"/>
                <w:szCs w:val="24"/>
              </w:rPr>
              <w:t>2022年相较2021年同期提升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701"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p>
        </w:tc>
        <w:tc>
          <w:tcPr>
            <w:tcW w:w="106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BOD</w:t>
            </w:r>
          </w:p>
        </w:tc>
        <w:tc>
          <w:tcPr>
            <w:tcW w:w="114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COD</w:t>
            </w:r>
          </w:p>
        </w:tc>
        <w:tc>
          <w:tcPr>
            <w:tcW w:w="111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BOD</w:t>
            </w:r>
          </w:p>
        </w:tc>
        <w:tc>
          <w:tcPr>
            <w:tcW w:w="125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COD</w:t>
            </w:r>
          </w:p>
        </w:tc>
        <w:tc>
          <w:tcPr>
            <w:tcW w:w="127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BOD</w:t>
            </w:r>
          </w:p>
        </w:tc>
        <w:tc>
          <w:tcPr>
            <w:tcW w:w="141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COD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大浦污水处理厂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2127.55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97.95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62.14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166.29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58.02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149.91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7.10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墟沟污水处理厂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721.12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99.60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53.21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141.91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52.07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134.52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2.19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5.49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南城污水处理厂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712.9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98.47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78.71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169.27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61.63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158.15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27.71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7.03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大浦工业区污水处理厂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955.4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52.78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75.92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168.88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93.42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310.99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-18.73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-45.70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赣榆创联污水处理厂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1175.62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99.93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44.92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127.97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32.04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213.12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40.20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-39.95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灌云南风污水处理厂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1279.2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88.34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58.81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127.64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90.25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188.71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-34.84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-32.36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东海西湖污水处理厂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401.7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55.48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105.55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197.28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111.19</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219.6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-5.07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-10.16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东海城东污水处理厂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368.83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101.89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84.57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188.55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86.22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206.85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-1.91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灌南城东污水处理厂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104.1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38.34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49.43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81.08</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28.53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69.76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73.26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16.23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灌南城西污水处理厂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169.87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46.93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53.3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90.18</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51.76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124.05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 xml:space="preserve">2.98 </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-27.30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2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黑体" w:cs="Times New Roman"/>
                <w:color w:val="000000"/>
                <w:kern w:val="0"/>
                <w:sz w:val="24"/>
                <w:szCs w:val="24"/>
              </w:rPr>
              <w:t>合 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54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7846.42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 xml:space="preserve">80.28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65.64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kern w:val="0"/>
                <w:sz w:val="24"/>
                <w:szCs w:val="24"/>
              </w:rPr>
              <w:t>64.25</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宋体" w:cs="Times New Roman"/>
                <w:color w:val="000000"/>
                <w:sz w:val="24"/>
                <w:szCs w:val="24"/>
              </w:rPr>
            </w:pPr>
          </w:p>
        </w:tc>
      </w:tr>
    </w:tbl>
    <w:p>
      <w:pPr>
        <w:spacing w:line="560" w:lineRule="exact"/>
        <w:rPr>
          <w:rFonts w:ascii="黑体" w:eastAsia="黑体" w:cs="黑体"/>
          <w:sz w:val="32"/>
          <w:szCs w:val="32"/>
        </w:rPr>
        <w:sectPr>
          <w:pgSz w:w="16838" w:h="11906" w:orient="landscape"/>
          <w:pgMar w:top="1701" w:right="1304" w:bottom="1474" w:left="1304" w:header="851" w:footer="992" w:gutter="0"/>
          <w:pgNumType w:fmt="numberInDash"/>
          <w:cols w:space="720" w:num="1"/>
          <w:docGrid w:linePitch="312" w:charSpace="0"/>
        </w:sectPr>
      </w:pPr>
    </w:p>
    <w:p>
      <w:pPr>
        <w:spacing w:line="560" w:lineRule="exact"/>
        <w:jc w:val="left"/>
        <w:rPr>
          <w:rFonts w:ascii="黑体" w:eastAsia="黑体" w:cs="黑体"/>
          <w:sz w:val="32"/>
          <w:szCs w:val="32"/>
        </w:rPr>
      </w:pPr>
      <w:r>
        <w:rPr>
          <w:rFonts w:ascii="黑体" w:eastAsia="黑体" w:cs="黑体"/>
          <w:sz w:val="32"/>
          <w:szCs w:val="32"/>
        </w:rPr>
        <w:t>附件4</w:t>
      </w:r>
    </w:p>
    <w:p>
      <w:pPr>
        <w:spacing w:line="560" w:lineRule="exact"/>
        <w:jc w:val="center"/>
        <w:rPr>
          <w:rFonts w:ascii="黑体" w:eastAsia="黑体" w:cs="黑体"/>
          <w:sz w:val="44"/>
          <w:szCs w:val="44"/>
        </w:rPr>
      </w:pPr>
      <w:r>
        <w:rPr>
          <w:rFonts w:hint="eastAsia" w:ascii="方正小标宋简体" w:eastAsia="方正小标宋简体" w:cs="黑体"/>
          <w:sz w:val="44"/>
          <w:szCs w:val="44"/>
        </w:rPr>
        <w:t>城市污水处理厂水质检测结果</w:t>
      </w:r>
    </w:p>
    <w:tbl>
      <w:tblPr>
        <w:tblStyle w:val="11"/>
        <w:tblW w:w="15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344"/>
        <w:gridCol w:w="850"/>
        <w:gridCol w:w="709"/>
        <w:gridCol w:w="992"/>
        <w:gridCol w:w="992"/>
        <w:gridCol w:w="851"/>
        <w:gridCol w:w="1134"/>
        <w:gridCol w:w="992"/>
        <w:gridCol w:w="709"/>
        <w:gridCol w:w="709"/>
        <w:gridCol w:w="1134"/>
        <w:gridCol w:w="567"/>
        <w:gridCol w:w="69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hint="eastAsia" w:ascii="黑体" w:eastAsia="黑体" w:cs="黑体"/>
                <w:b w:val="0"/>
                <w:bCs/>
                <w:color w:val="000000"/>
                <w:sz w:val="24"/>
                <w:szCs w:val="24"/>
              </w:rPr>
            </w:pPr>
            <w:r>
              <w:rPr>
                <w:rFonts w:hint="eastAsia" w:ascii="黑体" w:eastAsia="黑体" w:cs="黑体"/>
                <w:b w:val="0"/>
                <w:bCs/>
                <w:color w:val="000000"/>
                <w:sz w:val="24"/>
                <w:szCs w:val="24"/>
              </w:rPr>
              <w:t>采样日期</w:t>
            </w:r>
          </w:p>
        </w:tc>
        <w:tc>
          <w:tcPr>
            <w:tcW w:w="4194"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jc w:val="center"/>
              <w:rPr>
                <w:rFonts w:hint="eastAsia" w:ascii="黑体" w:eastAsia="黑体" w:cs="黑体"/>
                <w:b w:val="0"/>
                <w:bCs/>
                <w:color w:val="000000"/>
                <w:sz w:val="24"/>
                <w:szCs w:val="24"/>
              </w:rPr>
            </w:pPr>
            <w:r>
              <w:rPr>
                <w:rFonts w:hint="eastAsia" w:ascii="黑体" w:eastAsia="黑体" w:cs="黑体"/>
                <w:b w:val="0"/>
                <w:bCs/>
                <w:color w:val="000000"/>
                <w:sz w:val="24"/>
                <w:szCs w:val="24"/>
              </w:rPr>
              <w:t>采样点位名称</w:t>
            </w:r>
          </w:p>
        </w:tc>
        <w:tc>
          <w:tcPr>
            <w:tcW w:w="10344" w:type="dxa"/>
            <w:gridSpan w:val="12"/>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hint="eastAsia" w:ascii="黑体" w:eastAsia="黑体" w:cs="黑体"/>
                <w:b/>
                <w:color w:val="000000"/>
                <w:sz w:val="24"/>
                <w:szCs w:val="24"/>
              </w:rPr>
            </w:pPr>
            <w:r>
              <w:rPr>
                <w:rFonts w:hint="eastAsia" w:ascii="黑体" w:eastAsia="黑体" w:cs="黑体"/>
                <w:b w:val="0"/>
                <w:bCs/>
                <w:color w:val="000000"/>
                <w:sz w:val="24"/>
                <w:szCs w:val="24"/>
              </w:rPr>
              <w:t>检测结果（mg/L）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tc>
        <w:tc>
          <w:tcPr>
            <w:tcW w:w="4194"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pH值</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总氮（以N计）</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氨氮（以N计）</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化学需氧量</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五日生化需氧量</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总磷（以P计）</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石油类</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动植物油</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阴离子表面活性剂</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色度</w:t>
            </w:r>
          </w:p>
        </w:tc>
        <w:tc>
          <w:tcPr>
            <w:tcW w:w="6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悬浮物</w:t>
            </w:r>
          </w:p>
        </w:tc>
        <w:tc>
          <w:tcPr>
            <w:tcW w:w="8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s="黑体"/>
                <w:b w:val="0"/>
                <w:bCs/>
                <w:color w:val="000000"/>
                <w:sz w:val="21"/>
                <w:szCs w:val="21"/>
              </w:rPr>
            </w:pPr>
            <w:r>
              <w:rPr>
                <w:rFonts w:hint="eastAsia" w:ascii="黑体" w:eastAsia="黑体" w:cs="黑体"/>
                <w:b w:val="0"/>
                <w:bCs/>
                <w:color w:val="000000"/>
                <w:sz w:val="21"/>
                <w:szCs w:val="21"/>
              </w:rPr>
              <w:t>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2022-04-02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color w:val="000000"/>
                <w:szCs w:val="21"/>
              </w:rPr>
            </w:pPr>
            <w:r>
              <w:rPr>
                <w:rFonts w:hint="eastAsia" w:ascii="Times New Roman" w:hAnsi="Times New Roman"/>
                <w:color w:val="000000"/>
                <w:szCs w:val="21"/>
              </w:rPr>
              <w:t>大浦污水处理厂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8.76</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0.15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highlight w:val="yellow"/>
              </w:rPr>
            </w:pPr>
            <w:r>
              <w:rPr>
                <w:rFonts w:ascii="Times New Roman" w:hAnsi="Times New Roman"/>
                <w:color w:val="000000"/>
                <w:szCs w:val="21"/>
              </w:rPr>
              <w:t>2.9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2022-04-02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color w:val="000000"/>
                <w:szCs w:val="21"/>
              </w:rPr>
            </w:pPr>
            <w:r>
              <w:rPr>
                <w:rFonts w:hint="eastAsia" w:ascii="Times New Roman" w:hAnsi="Times New Roman"/>
                <w:color w:val="000000"/>
                <w:szCs w:val="21"/>
              </w:rPr>
              <w:t>连云港市港城水务污水处理厂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7.92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0.24</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4.3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2022-04-02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color w:val="000000"/>
                <w:szCs w:val="21"/>
              </w:rPr>
            </w:pPr>
            <w:r>
              <w:rPr>
                <w:rFonts w:hint="eastAsia" w:ascii="Times New Roman" w:hAnsi="Times New Roman"/>
                <w:color w:val="000000"/>
                <w:szCs w:val="21"/>
              </w:rPr>
              <w:t>墟沟污水处理厂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6.25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0.17</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3.9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0.08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2022-04-02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color w:val="000000"/>
                <w:szCs w:val="21"/>
              </w:rPr>
            </w:pPr>
            <w:r>
              <w:rPr>
                <w:rFonts w:hint="eastAsia" w:ascii="Times New Roman" w:hAnsi="Times New Roman"/>
                <w:color w:val="000000"/>
                <w:szCs w:val="21"/>
              </w:rPr>
              <w:t>连云港市恒隆水务污水处理厂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9.28</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0.62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34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7.7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2022-04-25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color w:val="000000"/>
                <w:szCs w:val="21"/>
              </w:rPr>
            </w:pPr>
            <w:r>
              <w:rPr>
                <w:rFonts w:hint="eastAsia" w:ascii="Times New Roman" w:hAnsi="Times New Roman"/>
                <w:color w:val="000000"/>
                <w:szCs w:val="21"/>
              </w:rPr>
              <w:t>灌南县城东污水处理厂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7.7</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Cs w:val="21"/>
              </w:rPr>
            </w:pPr>
            <w:r>
              <w:rPr>
                <w:rFonts w:ascii="Times New Roman" w:hAnsi="Times New Roman"/>
                <w:color w:val="000000"/>
                <w:szCs w:val="21"/>
              </w:rPr>
              <w:t>10.8</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0.56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2.5</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0.05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2022-04-25</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hint="eastAsia" w:ascii="Times New Roman" w:hAnsi="Times New Roman"/>
                <w:color w:val="000000"/>
                <w:szCs w:val="21"/>
              </w:rPr>
              <w:t>灌南县城西污水处理厂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7.6</w:t>
            </w:r>
          </w:p>
        </w:tc>
        <w:tc>
          <w:tcPr>
            <w:tcW w:w="992" w:type="dxa"/>
            <w:tcBorders>
              <w:top w:val="nil"/>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10.1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13</w:t>
            </w:r>
          </w:p>
        </w:tc>
        <w:tc>
          <w:tcPr>
            <w:tcW w:w="1134" w:type="dxa"/>
            <w:tcBorders>
              <w:top w:val="nil"/>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2022-04-11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hint="eastAsia" w:ascii="Times New Roman" w:hAnsi="Times New Roman"/>
                <w:color w:val="000000"/>
                <w:szCs w:val="21"/>
              </w:rPr>
              <w:t>东海县西湖污水处理厂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7.2</w:t>
            </w:r>
          </w:p>
        </w:tc>
        <w:tc>
          <w:tcPr>
            <w:tcW w:w="99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9.12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1.78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14</w:t>
            </w:r>
          </w:p>
        </w:tc>
        <w:tc>
          <w:tcPr>
            <w:tcW w:w="1134" w:type="dxa"/>
            <w:tcBorders>
              <w:top w:val="nil"/>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2.8</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0.19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2022-04-11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hint="eastAsia" w:ascii="Times New Roman" w:hAnsi="Times New Roman"/>
                <w:color w:val="000000"/>
                <w:szCs w:val="21"/>
              </w:rPr>
              <w:t>东海县城东污水处理厂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7.2</w:t>
            </w:r>
          </w:p>
        </w:tc>
        <w:tc>
          <w:tcPr>
            <w:tcW w:w="99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5.02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0.53</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9</w:t>
            </w:r>
          </w:p>
        </w:tc>
        <w:tc>
          <w:tcPr>
            <w:tcW w:w="1134" w:type="dxa"/>
            <w:tcBorders>
              <w:top w:val="nil"/>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2022-04-11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hint="eastAsia" w:ascii="Times New Roman" w:hAnsi="Times New Roman"/>
                <w:color w:val="000000"/>
                <w:szCs w:val="21"/>
              </w:rPr>
              <w:t>灌云县南风污水处理厂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6.8</w:t>
            </w:r>
          </w:p>
        </w:tc>
        <w:tc>
          <w:tcPr>
            <w:tcW w:w="992" w:type="dxa"/>
            <w:tcBorders>
              <w:top w:val="nil"/>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6.13</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0.96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w:t>
            </w:r>
          </w:p>
        </w:tc>
        <w:tc>
          <w:tcPr>
            <w:tcW w:w="1134" w:type="dxa"/>
            <w:tcBorders>
              <w:top w:val="nil"/>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2.4</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0.20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2022-04-11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hint="eastAsia" w:ascii="Times New Roman" w:hAnsi="Times New Roman"/>
                <w:color w:val="000000"/>
                <w:szCs w:val="21"/>
              </w:rPr>
              <w:t>赣榆县新城污水处理厂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8.0</w:t>
            </w:r>
          </w:p>
        </w:tc>
        <w:tc>
          <w:tcPr>
            <w:tcW w:w="992" w:type="dxa"/>
            <w:tcBorders>
              <w:top w:val="nil"/>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5.28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0.60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12</w:t>
            </w:r>
          </w:p>
        </w:tc>
        <w:tc>
          <w:tcPr>
            <w:tcW w:w="1134" w:type="dxa"/>
            <w:tcBorders>
              <w:top w:val="nil"/>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0.25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4</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2022-05-31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大浦污水处理厂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7.54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2022-05-31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连云港市港城水务污水处理厂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6.65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0.22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2022-05-31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墟沟污水处理厂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6.5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5.89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2022-05-31</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连云港市恒隆水务污水处理厂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10.16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0.57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5.7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2022-05-13</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灌南县城东污水处理厂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8.35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0.24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2022-05-13</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灌南县城西污水处理厂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9.89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0.41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4.1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2022-05-12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东海县西湖污水处理厂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8.12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0.30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2022-05-12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东海县城东污水处理厂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6.02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0.20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2022-05-13</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灌云县南风污水处理厂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7.12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0.33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2022-05-12</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赣榆县新城污水处理厂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4.27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大浦污水处理厂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8.76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0.41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连云港市港城水务污水处理厂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7.08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0.36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墟沟污水处理厂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5.94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0.45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连云港市恒隆水务污水处理厂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0.62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5.5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灌南县城东污水处理厂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10.7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0.51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灌南县城西污水处理厂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11.0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0.58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东海县西湖污水处理厂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10.4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0.69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2.9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0.09</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东海县城东污水处理厂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12.4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0.47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4.3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0.18</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5</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灌云县南风污水处理厂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6.9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9.86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0.42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3.7</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0.13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color w:val="000000"/>
                <w:szCs w:val="21"/>
              </w:rPr>
              <w:t>2022-06-29</w:t>
            </w:r>
          </w:p>
        </w:tc>
        <w:tc>
          <w:tcPr>
            <w:tcW w:w="3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000000"/>
                <w:szCs w:val="21"/>
              </w:rPr>
            </w:pPr>
            <w:r>
              <w:rPr>
                <w:rFonts w:hint="eastAsia" w:ascii="Times New Roman" w:hAnsi="Times New Roman"/>
                <w:color w:val="000000"/>
                <w:szCs w:val="21"/>
              </w:rPr>
              <w:t>赣榆县新城污水处理厂</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color w:val="000000"/>
                <w:szCs w:val="21"/>
              </w:rPr>
              <w:t>总排口</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7.6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8.98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0.35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18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3.9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szCs w:val="21"/>
              </w:rPr>
              <w:t>0.06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ND</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rPr>
              <w:t>2</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547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Times New Roman" w:hAnsi="Times New Roman"/>
                <w:color w:val="000000"/>
                <w:szCs w:val="21"/>
              </w:rPr>
            </w:pPr>
            <w:r>
              <w:rPr>
                <w:rFonts w:hint="eastAsia" w:ascii="Times New Roman" w:hAnsi="Times New Roman"/>
                <w:b/>
                <w:color w:val="000000"/>
                <w:szCs w:val="21"/>
              </w:rPr>
              <w:t>《城镇污水处理厂污染物排放标准》（</w:t>
            </w:r>
            <w:r>
              <w:rPr>
                <w:rFonts w:ascii="Times New Roman" w:hAnsi="Times New Roman"/>
                <w:b/>
                <w:color w:val="000000"/>
                <w:szCs w:val="21"/>
              </w:rPr>
              <w:t>GB18918-2002</w:t>
            </w:r>
            <w:r>
              <w:rPr>
                <w:rFonts w:hint="eastAsia" w:ascii="Times New Roman" w:hAnsi="Times New Roman"/>
                <w:b/>
                <w:color w:val="000000"/>
                <w:szCs w:val="21"/>
              </w:rPr>
              <w:t>）一级标准</w:t>
            </w:r>
            <w:r>
              <w:rPr>
                <w:rFonts w:ascii="Times New Roman" w:hAnsi="Times New Roman"/>
                <w:b/>
                <w:color w:val="000000"/>
                <w:szCs w:val="21"/>
              </w:rPr>
              <w:t>A</w:t>
            </w:r>
            <w:r>
              <w:rPr>
                <w:rFonts w:hint="eastAsia" w:ascii="Times New Roman" w:hAnsi="Times New Roman"/>
                <w:b/>
                <w:color w:val="000000"/>
                <w:szCs w:val="21"/>
              </w:rPr>
              <w:t>标准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szCs w:val="21"/>
              </w:rPr>
              <w:t>6~9</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szCs w:val="21"/>
              </w:rPr>
              <w:t>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szCs w:val="21"/>
              </w:rPr>
              <w:t>50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szCs w:val="21"/>
              </w:rPr>
              <w:t>10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color w:val="000000"/>
                <w:szCs w:val="21"/>
              </w:rPr>
            </w:pPr>
            <w:r>
              <w:rPr>
                <w:rFonts w:ascii="Times New Roman" w:hAnsi="Times New Roman"/>
                <w:color w:val="000000"/>
                <w:kern w:val="0"/>
                <w:szCs w:val="21"/>
              </w:rPr>
              <w:t>0.5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0.5</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color w:val="000000"/>
                <w:szCs w:val="21"/>
              </w:rPr>
            </w:pPr>
            <w:r>
              <w:rPr>
                <w:rFonts w:ascii="Times New Roman" w:hAnsi="Times New Roman"/>
                <w:szCs w:val="21"/>
              </w:rPr>
              <w:t>30</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szCs w:val="21"/>
              </w:rPr>
              <w:t>10</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szCs w:val="21"/>
              </w:rPr>
              <w:t>10</w:t>
            </w:r>
            <w:r>
              <w:rPr>
                <w:rFonts w:ascii="Times New Roman" w:hAnsi="Times New Roman"/>
                <w:szCs w:val="21"/>
                <w:vertAlign w:val="superscript"/>
              </w:rPr>
              <w:t>3</w:t>
            </w:r>
            <w:r>
              <w:rPr>
                <w:rFonts w:hint="eastAsia" w:ascii="Times New Roman" w:hAnsi="Times New Roman"/>
                <w:szCs w:val="21"/>
              </w:rPr>
              <w:t>（个</w:t>
            </w:r>
            <w:r>
              <w:rPr>
                <w:rFonts w:ascii="Times New Roman" w:hAnsi="Times New Roman"/>
                <w:szCs w:val="21"/>
              </w:rPr>
              <w:t>/L</w:t>
            </w:r>
            <w:r>
              <w:rPr>
                <w:rFonts w:hint="eastAsia" w:ascii="Times New Roman" w:hAnsi="Times New Roman"/>
                <w:szCs w:val="21"/>
              </w:rPr>
              <w:t>）</w:t>
            </w:r>
          </w:p>
        </w:tc>
      </w:tr>
    </w:tbl>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附件5  </w:t>
      </w:r>
    </w:p>
    <w:p>
      <w:pPr>
        <w:widowControl/>
        <w:jc w:val="center"/>
        <w:rPr>
          <w:rFonts w:ascii="方正小标宋简体" w:eastAsia="方正小标宋简体" w:cs="黑体"/>
          <w:sz w:val="44"/>
          <w:szCs w:val="44"/>
        </w:rPr>
      </w:pPr>
      <w:r>
        <w:rPr>
          <w:rFonts w:hint="eastAsia" w:ascii="方正小标宋简体" w:eastAsia="方正小标宋简体" w:cs="黑体"/>
          <w:sz w:val="44"/>
          <w:szCs w:val="44"/>
        </w:rPr>
        <w:t>2022年上半年乡镇污水处理设施运行情况表</w:t>
      </w:r>
    </w:p>
    <w:tbl>
      <w:tblPr>
        <w:tblStyle w:val="11"/>
        <w:tblpPr w:leftFromText="180" w:rightFromText="180" w:vertAnchor="text" w:horzAnchor="page" w:tblpXSpec="center" w:tblpY="402"/>
        <w:tblOverlap w:val="never"/>
        <w:tblW w:w="127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9"/>
        <w:gridCol w:w="1171"/>
        <w:gridCol w:w="1014"/>
        <w:gridCol w:w="1095"/>
        <w:gridCol w:w="840"/>
        <w:gridCol w:w="1061"/>
        <w:gridCol w:w="964"/>
        <w:gridCol w:w="1305"/>
        <w:gridCol w:w="1466"/>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污水处理厂名称</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kern w:val="0"/>
                <w:sz w:val="24"/>
                <w:szCs w:val="24"/>
              </w:rPr>
            </w:pPr>
            <w:r>
              <w:rPr>
                <w:rFonts w:hint="eastAsia" w:ascii="黑体" w:eastAsia="黑体" w:cs="黑体"/>
                <w:color w:val="000000"/>
                <w:kern w:val="0"/>
                <w:sz w:val="24"/>
                <w:szCs w:val="24"/>
              </w:rPr>
              <w:t>乡镇污水处理厂数量（座）</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规模（万吨/日）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处理水量（万吨）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负荷率%</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进水COD(mg/L)</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负荷率低于20%(座)</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kern w:val="0"/>
                <w:sz w:val="24"/>
                <w:szCs w:val="24"/>
              </w:rPr>
            </w:pPr>
            <w:r>
              <w:rPr>
                <w:rFonts w:hint="eastAsia" w:ascii="黑体" w:eastAsia="黑体" w:cs="黑体"/>
                <w:color w:val="000000"/>
                <w:kern w:val="0"/>
                <w:sz w:val="24"/>
                <w:szCs w:val="24"/>
              </w:rPr>
              <w:t>负荷率在20%-90%之间(座)</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sz w:val="24"/>
                <w:szCs w:val="24"/>
              </w:rPr>
            </w:pPr>
            <w:r>
              <w:rPr>
                <w:rFonts w:hint="eastAsia" w:ascii="黑体" w:eastAsia="黑体" w:cs="黑体"/>
                <w:color w:val="000000"/>
                <w:kern w:val="0"/>
                <w:sz w:val="24"/>
                <w:szCs w:val="24"/>
              </w:rPr>
              <w:t>进水COD低于50mg/L(座)</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eastAsia="黑体" w:cs="黑体"/>
                <w:color w:val="000000"/>
                <w:kern w:val="0"/>
                <w:sz w:val="24"/>
                <w:szCs w:val="24"/>
              </w:rPr>
            </w:pPr>
            <w:r>
              <w:rPr>
                <w:rFonts w:hint="eastAsia" w:ascii="黑体" w:eastAsia="黑体" w:cs="黑体"/>
                <w:color w:val="000000"/>
                <w:kern w:val="0"/>
                <w:sz w:val="24"/>
                <w:szCs w:val="24"/>
              </w:rPr>
              <w:t>全运行比例%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海州区乡镇污水处理厂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2.08</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151.973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40.37</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149.53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连云区乡镇污水处理厂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0.225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12.396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30.44</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126.66</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赣榆区乡镇污水处理厂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0.56</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52.109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51.41</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83.08</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东海县乡镇污水处理厂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17</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70.889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19.58</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65.94</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7</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灌云县乡镇污水处理厂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1.4</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62.532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24.68</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110.43</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6</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灌南县乡镇污水处理厂</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9</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0.85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54.109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35.17</w:t>
            </w:r>
          </w:p>
        </w:tc>
        <w:tc>
          <w:tcPr>
            <w:tcW w:w="106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37.91</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8</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7</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合计</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51</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7.115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405.22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31.37</w:t>
            </w:r>
          </w:p>
        </w:tc>
        <w:tc>
          <w:tcPr>
            <w:tcW w:w="1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80.29</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37</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72.5</w:t>
            </w:r>
          </w:p>
        </w:tc>
      </w:tr>
    </w:tbl>
    <w:p>
      <w:pPr>
        <w:widowControl/>
        <w:jc w:val="center"/>
        <w:textAlignment w:val="center"/>
        <w:rPr>
          <w:rFonts w:ascii="仿宋_GB2312" w:eastAsia="仿宋_GB2312" w:cs="黑体"/>
          <w:sz w:val="32"/>
          <w:szCs w:val="32"/>
        </w:rPr>
      </w:pPr>
      <w:r>
        <w:rPr>
          <w:rFonts w:hint="eastAsia" w:ascii="仿宋_GB2312" w:eastAsia="仿宋_GB2312" w:cs="黑体"/>
          <w:sz w:val="32"/>
          <w:szCs w:val="32"/>
        </w:rPr>
        <w:t xml:space="preserve">  </w:t>
      </w: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sectPr>
          <w:pgSz w:w="16838" w:h="11906" w:orient="landscape"/>
          <w:pgMar w:top="1701" w:right="1304" w:bottom="1474" w:left="1304" w:header="851" w:footer="992" w:gutter="0"/>
          <w:pgNumType w:fmt="numberInDash"/>
          <w:cols w:space="720" w:num="1"/>
          <w:docGrid w:linePitch="312" w:charSpace="0"/>
        </w:sectPr>
      </w:pPr>
    </w:p>
    <w:p>
      <w:pPr>
        <w:widowControl/>
        <w:jc w:val="left"/>
        <w:rPr>
          <w:rFonts w:ascii="黑体" w:eastAsia="黑体" w:cs="黑体"/>
          <w:sz w:val="32"/>
          <w:szCs w:val="32"/>
        </w:rPr>
      </w:pPr>
      <w:r>
        <w:rPr>
          <w:rFonts w:hint="default" w:ascii="Times New Roman" w:hAnsi="Times New Roman" w:eastAsia="黑体" w:cs="Times New Roman"/>
          <w:sz w:val="32"/>
          <w:szCs w:val="32"/>
        </w:rPr>
        <w:t xml:space="preserve">附件6     </w:t>
      </w:r>
      <w:r>
        <w:rPr>
          <w:rFonts w:hint="eastAsia" w:ascii="黑体" w:eastAsia="黑体" w:cs="黑体"/>
          <w:sz w:val="32"/>
          <w:szCs w:val="32"/>
        </w:rPr>
        <w:t xml:space="preserve">           </w:t>
      </w:r>
    </w:p>
    <w:p>
      <w:pPr>
        <w:widowControl/>
        <w:jc w:val="center"/>
        <w:rPr>
          <w:rFonts w:ascii="方正小标宋简体" w:eastAsia="方正小标宋简体" w:cs="黑体"/>
          <w:sz w:val="36"/>
          <w:szCs w:val="36"/>
        </w:rPr>
      </w:pPr>
      <w:r>
        <w:rPr>
          <w:rFonts w:hint="eastAsia" w:ascii="方正小标宋简体" w:eastAsia="方正小标宋简体" w:cs="黑体"/>
          <w:sz w:val="44"/>
          <w:szCs w:val="44"/>
        </w:rPr>
        <w:t>省城镇污水处理信息管理系统二季度报送情况表</w:t>
      </w:r>
    </w:p>
    <w:tbl>
      <w:tblPr>
        <w:tblStyle w:val="11"/>
        <w:tblpPr w:leftFromText="180" w:rightFromText="180" w:vertAnchor="text" w:horzAnchor="page" w:tblpXSpec="center"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1394"/>
        <w:gridCol w:w="1394"/>
        <w:gridCol w:w="1522"/>
        <w:gridCol w:w="1701"/>
        <w:gridCol w:w="1560"/>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355" w:type="dxa"/>
            <w:vMerge w:val="restart"/>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县区</w:t>
            </w:r>
          </w:p>
        </w:tc>
        <w:tc>
          <w:tcPr>
            <w:tcW w:w="4310" w:type="dxa"/>
            <w:gridSpan w:val="3"/>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日化验数据填报情况（%）</w:t>
            </w:r>
          </w:p>
        </w:tc>
        <w:tc>
          <w:tcPr>
            <w:tcW w:w="4820" w:type="dxa"/>
            <w:gridSpan w:val="3"/>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日处理数据填报情况</w:t>
            </w:r>
          </w:p>
        </w:tc>
        <w:tc>
          <w:tcPr>
            <w:tcW w:w="1843" w:type="dxa"/>
            <w:vMerge w:val="restart"/>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污泥上报率%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vMerge w:val="continue"/>
            <w:vAlign w:val="center"/>
          </w:tcPr>
          <w:p/>
        </w:tc>
        <w:tc>
          <w:tcPr>
            <w:tcW w:w="1394" w:type="dxa"/>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上报率</w:t>
            </w:r>
          </w:p>
        </w:tc>
        <w:tc>
          <w:tcPr>
            <w:tcW w:w="1394" w:type="dxa"/>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完整率</w:t>
            </w:r>
          </w:p>
        </w:tc>
        <w:tc>
          <w:tcPr>
            <w:tcW w:w="1522" w:type="dxa"/>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填错率</w:t>
            </w:r>
          </w:p>
        </w:tc>
        <w:tc>
          <w:tcPr>
            <w:tcW w:w="1701" w:type="dxa"/>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上报率</w:t>
            </w:r>
          </w:p>
        </w:tc>
        <w:tc>
          <w:tcPr>
            <w:tcW w:w="1560" w:type="dxa"/>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完整率</w:t>
            </w:r>
          </w:p>
        </w:tc>
        <w:tc>
          <w:tcPr>
            <w:tcW w:w="1559" w:type="dxa"/>
            <w:vAlign w:val="center"/>
          </w:tcPr>
          <w:p>
            <w:pPr>
              <w:widowControl/>
              <w:jc w:val="center"/>
              <w:rPr>
                <w:rFonts w:ascii="Times New Roman" w:hAnsi="Times New Roman" w:eastAsia="方正小标宋_GBK" w:cs="Times New Roman"/>
                <w:sz w:val="24"/>
                <w:szCs w:val="24"/>
              </w:rPr>
            </w:pPr>
            <w:r>
              <w:rPr>
                <w:rFonts w:hint="eastAsia" w:ascii="Times New Roman" w:hAnsi="Times New Roman" w:eastAsia="方正小标宋_GBK" w:cs="Times New Roman"/>
                <w:sz w:val="24"/>
                <w:szCs w:val="24"/>
              </w:rPr>
              <w:t>填错率</w:t>
            </w:r>
          </w:p>
        </w:tc>
        <w:tc>
          <w:tcPr>
            <w:tcW w:w="184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55" w:type="dxa"/>
            <w:vAlign w:val="center"/>
          </w:tcPr>
          <w:p>
            <w:pPr>
              <w:widowControl/>
              <w:jc w:val="center"/>
              <w:textAlignment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海州区</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100</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78</w:t>
            </w:r>
          </w:p>
        </w:tc>
        <w:tc>
          <w:tcPr>
            <w:tcW w:w="1522"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0.88</w:t>
            </w:r>
          </w:p>
        </w:tc>
        <w:tc>
          <w:tcPr>
            <w:tcW w:w="1701"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100</w:t>
            </w:r>
          </w:p>
        </w:tc>
        <w:tc>
          <w:tcPr>
            <w:tcW w:w="1560"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79.87</w:t>
            </w:r>
          </w:p>
        </w:tc>
        <w:tc>
          <w:tcPr>
            <w:tcW w:w="1559"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0.44</w:t>
            </w:r>
          </w:p>
        </w:tc>
        <w:tc>
          <w:tcPr>
            <w:tcW w:w="1843"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355" w:type="dxa"/>
            <w:vAlign w:val="center"/>
          </w:tcPr>
          <w:p>
            <w:pPr>
              <w:widowControl/>
              <w:jc w:val="center"/>
              <w:textAlignment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连云区</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87.18</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66.01</w:t>
            </w:r>
          </w:p>
        </w:tc>
        <w:tc>
          <w:tcPr>
            <w:tcW w:w="1522"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0.55</w:t>
            </w:r>
          </w:p>
        </w:tc>
        <w:tc>
          <w:tcPr>
            <w:tcW w:w="1701"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99.63</w:t>
            </w:r>
          </w:p>
        </w:tc>
        <w:tc>
          <w:tcPr>
            <w:tcW w:w="1560"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70</w:t>
            </w:r>
          </w:p>
        </w:tc>
        <w:tc>
          <w:tcPr>
            <w:tcW w:w="1559"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0.18</w:t>
            </w:r>
          </w:p>
        </w:tc>
        <w:tc>
          <w:tcPr>
            <w:tcW w:w="1843"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355" w:type="dxa"/>
            <w:vAlign w:val="center"/>
          </w:tcPr>
          <w:p>
            <w:pPr>
              <w:widowControl/>
              <w:jc w:val="center"/>
              <w:textAlignment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赣榆区</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99.6</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62.6</w:t>
            </w:r>
          </w:p>
        </w:tc>
        <w:tc>
          <w:tcPr>
            <w:tcW w:w="1522"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1.9</w:t>
            </w:r>
          </w:p>
        </w:tc>
        <w:tc>
          <w:tcPr>
            <w:tcW w:w="1701"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99.9</w:t>
            </w:r>
          </w:p>
        </w:tc>
        <w:tc>
          <w:tcPr>
            <w:tcW w:w="1560"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96.28</w:t>
            </w:r>
          </w:p>
        </w:tc>
        <w:tc>
          <w:tcPr>
            <w:tcW w:w="1559"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0.6</w:t>
            </w:r>
          </w:p>
        </w:tc>
        <w:tc>
          <w:tcPr>
            <w:tcW w:w="1843"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5" w:type="dxa"/>
            <w:vAlign w:val="center"/>
          </w:tcPr>
          <w:p>
            <w:pPr>
              <w:widowControl/>
              <w:jc w:val="center"/>
              <w:textAlignment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东海县</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99.25</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53.67</w:t>
            </w:r>
          </w:p>
        </w:tc>
        <w:tc>
          <w:tcPr>
            <w:tcW w:w="1522"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0.35</w:t>
            </w:r>
          </w:p>
        </w:tc>
        <w:tc>
          <w:tcPr>
            <w:tcW w:w="1701"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99.94</w:t>
            </w:r>
          </w:p>
        </w:tc>
        <w:tc>
          <w:tcPr>
            <w:tcW w:w="1560"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93.11</w:t>
            </w:r>
          </w:p>
        </w:tc>
        <w:tc>
          <w:tcPr>
            <w:tcW w:w="1559"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0.52</w:t>
            </w:r>
          </w:p>
        </w:tc>
        <w:tc>
          <w:tcPr>
            <w:tcW w:w="1843"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355" w:type="dxa"/>
            <w:vAlign w:val="center"/>
          </w:tcPr>
          <w:p>
            <w:pPr>
              <w:widowControl/>
              <w:jc w:val="center"/>
              <w:textAlignment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灌云县</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84.42</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50.27</w:t>
            </w:r>
          </w:p>
        </w:tc>
        <w:tc>
          <w:tcPr>
            <w:tcW w:w="1522"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0.4</w:t>
            </w:r>
          </w:p>
        </w:tc>
        <w:tc>
          <w:tcPr>
            <w:tcW w:w="1701"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90.41</w:t>
            </w:r>
          </w:p>
        </w:tc>
        <w:tc>
          <w:tcPr>
            <w:tcW w:w="1560"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60.88</w:t>
            </w:r>
          </w:p>
        </w:tc>
        <w:tc>
          <w:tcPr>
            <w:tcW w:w="1559"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0.5</w:t>
            </w:r>
          </w:p>
        </w:tc>
        <w:tc>
          <w:tcPr>
            <w:tcW w:w="1843"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55" w:type="dxa"/>
            <w:vAlign w:val="center"/>
          </w:tcPr>
          <w:p>
            <w:pPr>
              <w:widowControl/>
              <w:jc w:val="center"/>
              <w:textAlignment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灌南县</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99.4</w:t>
            </w:r>
          </w:p>
        </w:tc>
        <w:tc>
          <w:tcPr>
            <w:tcW w:w="1394"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98.55</w:t>
            </w:r>
          </w:p>
        </w:tc>
        <w:tc>
          <w:tcPr>
            <w:tcW w:w="1522"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1.2</w:t>
            </w:r>
          </w:p>
        </w:tc>
        <w:tc>
          <w:tcPr>
            <w:tcW w:w="1701"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102.8</w:t>
            </w:r>
          </w:p>
        </w:tc>
        <w:tc>
          <w:tcPr>
            <w:tcW w:w="1560"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99.96</w:t>
            </w:r>
          </w:p>
        </w:tc>
        <w:tc>
          <w:tcPr>
            <w:tcW w:w="1559"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1.5</w:t>
            </w:r>
          </w:p>
        </w:tc>
        <w:tc>
          <w:tcPr>
            <w:tcW w:w="1843" w:type="dxa"/>
            <w:vAlign w:val="center"/>
          </w:tcPr>
          <w:p>
            <w:pPr>
              <w:spacing w:line="560" w:lineRule="exact"/>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18.2</w:t>
            </w:r>
          </w:p>
        </w:tc>
      </w:tr>
    </w:tbl>
    <w:p>
      <w:pPr>
        <w:widowControl/>
        <w:jc w:val="center"/>
        <w:rPr>
          <w:rFonts w:ascii="Times New Roman" w:hAnsi="Times New Roman" w:eastAsia="方正小标宋_GBK" w:cs="Times New Roman"/>
          <w:sz w:val="36"/>
          <w:szCs w:val="36"/>
        </w:rPr>
      </w:pPr>
    </w:p>
    <w:p>
      <w:pPr>
        <w:widowControl/>
        <w:jc w:val="left"/>
        <w:rPr>
          <w:rFonts w:ascii="Times New Roman" w:hAnsi="Times New Roman" w:eastAsia="楷体_GB2312" w:cs="Times New Roman"/>
          <w:sz w:val="24"/>
          <w:szCs w:val="24"/>
        </w:rPr>
      </w:pPr>
    </w:p>
    <w:sectPr>
      <w:pgSz w:w="16838" w:h="11906" w:orient="landscape"/>
      <w:pgMar w:top="1701" w:right="1304" w:bottom="1474" w:left="130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黑体" w:eastAsia="黑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sz w:val="28"/>
                              <w:szCs w:val="28"/>
                            </w:rPr>
                            <w:id w:val="1753723691"/>
                          </w:sdtPr>
                          <w:sdtEndPr>
                            <w:rPr>
                              <w:rFonts w:hint="default" w:ascii="Times New Roman" w:hAnsi="Times New Roman" w:eastAsia="黑体" w:cs="Times New Roman"/>
                              <w:sz w:val="28"/>
                              <w:szCs w:val="28"/>
                            </w:rPr>
                          </w:sdtEndPr>
                          <w:sdtContent>
                            <w:p>
                              <w:pPr>
                                <w:pStyle w:val="8"/>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PAGE   \* MERGEFORMAT</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lang w:val="zh-CN"/>
                                </w:rPr>
                                <w:t>2</w:t>
                              </w:r>
                              <w:r>
                                <w:rPr>
                                  <w:rFonts w:hint="default" w:ascii="Times New Roman" w:hAnsi="Times New Roman" w:eastAsia="黑体" w:cs="Times New Roman"/>
                                  <w:sz w:val="28"/>
                                  <w:szCs w:val="28"/>
                                </w:rPr>
                                <w:fldChar w:fldCharType="end"/>
                              </w:r>
                            </w:p>
                          </w:sdtContent>
                        </w:sdt>
                        <w:p>
                          <w:pPr>
                            <w:rPr>
                              <w:rFonts w:hint="default" w:ascii="Times New Roman" w:hAnsi="Times New Roman" w:eastAsia="黑体"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rPr>
                        <w:rFonts w:hint="default" w:ascii="Times New Roman" w:hAnsi="Times New Roman" w:cs="Times New Roman"/>
                        <w:sz w:val="28"/>
                        <w:szCs w:val="28"/>
                      </w:rPr>
                      <w:id w:val="1753723691"/>
                    </w:sdtPr>
                    <w:sdtEndPr>
                      <w:rPr>
                        <w:rFonts w:hint="default" w:ascii="Times New Roman" w:hAnsi="Times New Roman" w:eastAsia="黑体" w:cs="Times New Roman"/>
                        <w:sz w:val="28"/>
                        <w:szCs w:val="28"/>
                      </w:rPr>
                    </w:sdtEndPr>
                    <w:sdtContent>
                      <w:p>
                        <w:pPr>
                          <w:pStyle w:val="8"/>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fldChar w:fldCharType="begin"/>
                        </w:r>
                        <w:r>
                          <w:rPr>
                            <w:rFonts w:hint="default" w:ascii="Times New Roman" w:hAnsi="Times New Roman" w:eastAsia="黑体" w:cs="Times New Roman"/>
                            <w:sz w:val="28"/>
                            <w:szCs w:val="28"/>
                          </w:rPr>
                          <w:instrText xml:space="preserve">PAGE   \* MERGEFORMAT</w:instrText>
                        </w:r>
                        <w:r>
                          <w:rPr>
                            <w:rFonts w:hint="default" w:ascii="Times New Roman" w:hAnsi="Times New Roman" w:eastAsia="黑体" w:cs="Times New Roman"/>
                            <w:sz w:val="28"/>
                            <w:szCs w:val="28"/>
                          </w:rPr>
                          <w:fldChar w:fldCharType="separate"/>
                        </w:r>
                        <w:r>
                          <w:rPr>
                            <w:rFonts w:hint="default" w:ascii="Times New Roman" w:hAnsi="Times New Roman" w:eastAsia="黑体" w:cs="Times New Roman"/>
                            <w:sz w:val="28"/>
                            <w:szCs w:val="28"/>
                            <w:lang w:val="zh-CN"/>
                          </w:rPr>
                          <w:t>2</w:t>
                        </w:r>
                        <w:r>
                          <w:rPr>
                            <w:rFonts w:hint="default" w:ascii="Times New Roman" w:hAnsi="Times New Roman" w:eastAsia="黑体" w:cs="Times New Roman"/>
                            <w:sz w:val="28"/>
                            <w:szCs w:val="28"/>
                          </w:rPr>
                          <w:fldChar w:fldCharType="end"/>
                        </w:r>
                      </w:p>
                    </w:sdtContent>
                  </w:sdt>
                  <w:p>
                    <w:pPr>
                      <w:rPr>
                        <w:rFonts w:hint="default" w:ascii="Times New Roman" w:hAnsi="Times New Roman" w:eastAsia="黑体" w:cs="Times New Roman"/>
                        <w:sz w:val="28"/>
                        <w:szCs w:val="28"/>
                      </w:rPr>
                    </w:pP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ZjgwYTUzNTAzNjQyMmE1YWY0ZDZjZGI0MWQ1NzAwNTkifQ=="/>
  </w:docVars>
  <w:rsids>
    <w:rsidRoot w:val="00000000"/>
    <w:rsid w:val="34E73EBF"/>
    <w:rsid w:val="4A440E14"/>
    <w:rsid w:val="55EE4C56"/>
    <w:rsid w:val="586B3F15"/>
    <w:rsid w:val="740F42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rPr>
      <w:szCs w:val="24"/>
    </w:r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eastAsia="宋体" w:cs="宋体"/>
      <w:kern w:val="0"/>
      <w:sz w:val="24"/>
      <w:szCs w:val="24"/>
    </w:rPr>
  </w:style>
  <w:style w:type="character" w:styleId="13">
    <w:name w:val="annotation reference"/>
    <w:basedOn w:val="12"/>
    <w:uiPriority w:val="0"/>
    <w:rPr>
      <w:sz w:val="21"/>
      <w:szCs w:val="21"/>
    </w:rPr>
  </w:style>
  <w:style w:type="paragraph" w:styleId="14">
    <w:name w:val="List Paragraph"/>
    <w:basedOn w:val="1"/>
    <w:uiPriority w:val="0"/>
    <w:pPr>
      <w:ind w:firstLine="200" w:firstLineChars="200"/>
    </w:pPr>
  </w:style>
  <w:style w:type="paragraph" w:customStyle="1" w:styleId="15">
    <w:name w:val="表蕊"/>
    <w:basedOn w:val="1"/>
    <w:uiPriority w:val="0"/>
    <w:pPr>
      <w:adjustRightInd w:val="0"/>
      <w:spacing w:line="320" w:lineRule="atLeast"/>
      <w:jc w:val="left"/>
      <w:textAlignment w:val="baseline"/>
    </w:pPr>
    <w:rPr>
      <w:rFonts w:ascii="Times New Roman" w:hAnsi="Times New Roman" w:eastAsia="楷体_GB2312"/>
      <w:spacing w:val="-10"/>
    </w:rPr>
  </w:style>
  <w:style w:type="character" w:customStyle="1" w:styleId="16">
    <w:name w:val="font51"/>
    <w:basedOn w:val="12"/>
    <w:uiPriority w:val="0"/>
    <w:rPr>
      <w:rFonts w:ascii="宋体" w:eastAsia="宋体" w:cs="宋体"/>
      <w:b/>
      <w:color w:val="000000"/>
      <w:sz w:val="22"/>
      <w:szCs w:val="22"/>
      <w:u w:val="none"/>
    </w:rPr>
  </w:style>
  <w:style w:type="character" w:customStyle="1" w:styleId="17">
    <w:name w:val="font11"/>
    <w:basedOn w:val="12"/>
    <w:uiPriority w:val="0"/>
    <w:rPr>
      <w:rFonts w:ascii="宋体" w:eastAsia="宋体" w:cs="宋体"/>
      <w:b/>
      <w:color w:val="000000"/>
      <w:sz w:val="22"/>
      <w:szCs w:val="2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13</Pages>
  <Words>5358</Words>
  <Characters>7433</Characters>
  <Lines>1409</Lines>
  <Paragraphs>1232</Paragraphs>
  <TotalTime>4</TotalTime>
  <ScaleCrop>false</ScaleCrop>
  <LinksUpToDate>false</LinksUpToDate>
  <CharactersWithSpaces>7518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2022-09-18T15:07:00Z</dcterms:created>
  <dc:creator>张 桂峰</dc:creator>
  <cp:lastModifiedBy>简单的幸福</cp:lastModifiedBy>
  <cp:lastPrinted>2022-08-12T01:50:00Z</cp:lastPrinted>
  <dcterms:modified xsi:type="dcterms:W3CDTF">2022-09-20T08:17:17Z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D9B26EBB586C471D8AD79606B387BC4B</vt:lpwstr>
  </property>
  <property fmtid="{D5CDD505-2E9C-101B-9397-08002B2CF9AE}" pid="4" name="commondata">
    <vt:lpwstr>eyJoZGlkIjoiNTgwMzY4MDQ1ZGMwNDcyMmE4ZGQ5ZDM2MjU5NzNiNTYifQ==</vt:lpwstr>
  </property>
</Properties>
</file>